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F5758" w14:textId="77777777" w:rsidR="001F1F48" w:rsidRDefault="001F1F48">
      <w:pPr>
        <w:pBdr>
          <w:top w:val="nil"/>
          <w:left w:val="nil"/>
          <w:bottom w:val="nil"/>
          <w:right w:val="nil"/>
          <w:between w:val="nil"/>
        </w:pBdr>
        <w:rPr>
          <w:rFonts w:ascii="Garamond" w:eastAsia="Garamond" w:hAnsi="Garamond" w:cs="Garamond"/>
          <w:color w:val="000000"/>
          <w:sz w:val="20"/>
          <w:szCs w:val="20"/>
        </w:rPr>
      </w:pPr>
    </w:p>
    <w:p w14:paraId="3AB6A1E3" w14:textId="77777777" w:rsidR="001F1F48" w:rsidRDefault="001F1F48">
      <w:pPr>
        <w:pBdr>
          <w:top w:val="nil"/>
          <w:left w:val="nil"/>
          <w:bottom w:val="nil"/>
          <w:right w:val="nil"/>
          <w:between w:val="nil"/>
        </w:pBdr>
        <w:jc w:val="both"/>
        <w:rPr>
          <w:rFonts w:ascii="Garamond" w:eastAsia="Garamond" w:hAnsi="Garamond" w:cs="Garamond"/>
          <w:color w:val="000000"/>
          <w:sz w:val="24"/>
          <w:szCs w:val="24"/>
        </w:rPr>
      </w:pPr>
    </w:p>
    <w:p w14:paraId="0B6D4FEB" w14:textId="685DCE0E" w:rsidR="001F1F48" w:rsidRDefault="005A6698">
      <w:pPr>
        <w:pBdr>
          <w:top w:val="nil"/>
          <w:left w:val="nil"/>
          <w:bottom w:val="nil"/>
          <w:right w:val="nil"/>
          <w:between w:val="nil"/>
        </w:pBdr>
        <w:jc w:val="center"/>
        <w:rPr>
          <w:rFonts w:ascii="Garamond" w:eastAsia="Garamond" w:hAnsi="Garamond" w:cs="Garamond"/>
          <w:b/>
          <w:sz w:val="24"/>
          <w:szCs w:val="24"/>
        </w:rPr>
      </w:pPr>
      <w:r>
        <w:rPr>
          <w:rFonts w:ascii="Garamond" w:eastAsia="Garamond" w:hAnsi="Garamond" w:cs="Garamond"/>
          <w:b/>
          <w:sz w:val="24"/>
          <w:szCs w:val="24"/>
        </w:rPr>
        <w:t>INTRODUCCIÓN</w:t>
      </w:r>
    </w:p>
    <w:p w14:paraId="71B6F01C" w14:textId="12265A23" w:rsidR="0094434A" w:rsidRDefault="0094434A">
      <w:pPr>
        <w:pBdr>
          <w:top w:val="nil"/>
          <w:left w:val="nil"/>
          <w:bottom w:val="nil"/>
          <w:right w:val="nil"/>
          <w:between w:val="nil"/>
        </w:pBdr>
        <w:jc w:val="center"/>
        <w:rPr>
          <w:rFonts w:ascii="Garamond" w:eastAsia="Garamond" w:hAnsi="Garamond" w:cs="Garamond"/>
          <w:b/>
          <w:sz w:val="24"/>
          <w:szCs w:val="24"/>
        </w:rPr>
      </w:pPr>
    </w:p>
    <w:p w14:paraId="645C9CD9" w14:textId="77777777" w:rsidR="0094434A" w:rsidRDefault="0094434A">
      <w:pPr>
        <w:pBdr>
          <w:top w:val="nil"/>
          <w:left w:val="nil"/>
          <w:bottom w:val="nil"/>
          <w:right w:val="nil"/>
          <w:between w:val="nil"/>
        </w:pBdr>
        <w:jc w:val="center"/>
        <w:rPr>
          <w:rFonts w:ascii="Garamond" w:eastAsia="Garamond" w:hAnsi="Garamond" w:cs="Garamond"/>
          <w:b/>
          <w:color w:val="000000"/>
          <w:sz w:val="24"/>
          <w:szCs w:val="24"/>
        </w:rPr>
      </w:pPr>
    </w:p>
    <w:p w14:paraId="7EE96ED1" w14:textId="77777777" w:rsidR="004051D4" w:rsidRPr="00BF757C" w:rsidRDefault="004051D4" w:rsidP="004051D4">
      <w:pPr>
        <w:pBdr>
          <w:top w:val="nil"/>
          <w:left w:val="nil"/>
          <w:bottom w:val="nil"/>
          <w:right w:val="nil"/>
          <w:between w:val="nil"/>
        </w:pBdr>
        <w:tabs>
          <w:tab w:val="left" w:pos="2813"/>
        </w:tabs>
        <w:jc w:val="both"/>
        <w:rPr>
          <w:rFonts w:ascii="Garamond" w:eastAsia="Garamond" w:hAnsi="Garamond" w:cs="Garamond"/>
          <w:color w:val="000000"/>
        </w:rPr>
      </w:pPr>
      <w:r w:rsidRPr="00BF757C">
        <w:rPr>
          <w:rFonts w:ascii="Garamond" w:eastAsia="Garamond" w:hAnsi="Garamond" w:cs="Garamond"/>
          <w:color w:val="000000"/>
        </w:rPr>
        <w:t xml:space="preserve">El presente documento constituye el análisis del sector, atendiendo lo señalado en el artículo 2.2.1.1.1.6.1 del Decreto 1082 de 2015, en consonancia con lo establecido en los Decretos 1860 de 2021  y 2104 de 2023, en los cuales se plantea como deber de la Entidad Estatal, en aplicación del principio de planeación, el realizar el análisis respectivo abordando el estudio desde la generalidad, para luego abarcar aspectos económicos (oferta – demanda), técnicos y legales que determinan e inciden en la satisfacción de la necesidad que da lugar a la contratación e impactan el referido proceso, de acuerdo con lo anterior </w:t>
      </w:r>
      <w:r w:rsidRPr="00BF757C">
        <w:rPr>
          <w:rFonts w:ascii="Garamond" w:hAnsi="Garamond"/>
        </w:rPr>
        <w:t xml:space="preserve">el Fondo de Desarrollo Local de San Cristóbal, elabora el presente documento para el proceso de contratación con el cual se pretende </w:t>
      </w:r>
      <w:r w:rsidRPr="00BF757C">
        <w:rPr>
          <w:rFonts w:ascii="Garamond" w:eastAsia="Garamond" w:hAnsi="Garamond" w:cs="Garamond"/>
          <w:color w:val="000000"/>
        </w:rPr>
        <w:t xml:space="preserve"> </w:t>
      </w:r>
      <w:r>
        <w:rPr>
          <w:rFonts w:ascii="Garamond" w:eastAsia="Garamond" w:hAnsi="Garamond" w:cs="Garamond"/>
        </w:rPr>
        <w:t>“</w:t>
      </w:r>
      <w:r>
        <w:rPr>
          <w:rFonts w:ascii="Garamond" w:hAnsi="Garamond" w:cs="Arial"/>
          <w:b/>
          <w:bCs/>
        </w:rPr>
        <w:t>CONTRATAR A MONTO AGOTABLE LA ADQUISICIÓN Y DISTRIBUCIÓN DE ELEMENTOS PARA DOTAR A LAS JUNTAS DE ACCIÓN COMUNAL A TRAVÉS DE ELEMENTOS PARA EL FORTALECIMIENTO DE SUS CAPACIDADES OPERATIVAS Y DE GESTIÓN SOCIAL EN LOS TERRITORIOS</w:t>
      </w:r>
      <w:r>
        <w:rPr>
          <w:rFonts w:ascii="Garamond" w:hAnsi="Garamond"/>
        </w:rPr>
        <w:t>”.</w:t>
      </w:r>
      <w:r w:rsidRPr="00BF757C">
        <w:rPr>
          <w:rFonts w:ascii="Garamond" w:eastAsia="Garamond" w:hAnsi="Garamond" w:cs="Garamond"/>
          <w:color w:val="000000"/>
        </w:rPr>
        <w:t xml:space="preserve"> permitiendo cumplir con los siguientes objetivos de acuerdo </w:t>
      </w:r>
      <w:r w:rsidRPr="00BF757C">
        <w:rPr>
          <w:rFonts w:ascii="Garamond" w:hAnsi="Garamond"/>
        </w:rPr>
        <w:t>con los principios de la contratación pública (transparencia, economía, responsabilidad, etc.)</w:t>
      </w:r>
      <w:r w:rsidRPr="00BF757C">
        <w:rPr>
          <w:rFonts w:ascii="Garamond" w:eastAsia="Garamond" w:hAnsi="Garamond" w:cs="Garamond"/>
          <w:color w:val="000000"/>
        </w:rPr>
        <w:t>:</w:t>
      </w:r>
    </w:p>
    <w:p w14:paraId="73136D2E" w14:textId="71B8276B" w:rsidR="00C13BED" w:rsidRDefault="004051D4" w:rsidP="00C13BED">
      <w:pPr>
        <w:pStyle w:val="NormalWeb"/>
        <w:numPr>
          <w:ilvl w:val="0"/>
          <w:numId w:val="22"/>
        </w:numPr>
        <w:spacing w:before="0" w:beforeAutospacing="0" w:after="0" w:afterAutospacing="0"/>
        <w:jc w:val="both"/>
        <w:rPr>
          <w:rFonts w:ascii="Garamond" w:hAnsi="Garamond"/>
        </w:rPr>
      </w:pPr>
      <w:r w:rsidRPr="00BF757C">
        <w:rPr>
          <w:rFonts w:ascii="Garamond" w:hAnsi="Garamond"/>
        </w:rPr>
        <w:t>Adquirir</w:t>
      </w:r>
      <w:r w:rsidRPr="00BF757C">
        <w:rPr>
          <w:rStyle w:val="Textoennegrita"/>
          <w:rFonts w:ascii="Garamond" w:hAnsi="Garamond"/>
        </w:rPr>
        <w:t xml:space="preserve"> elementos de dotación básicos y funcionales</w:t>
      </w:r>
      <w:r w:rsidRPr="00BF757C">
        <w:rPr>
          <w:rFonts w:ascii="Garamond" w:hAnsi="Garamond"/>
        </w:rPr>
        <w:t xml:space="preserve"> (como mobiliario, equipos de oficina, herramientas comunitarias o elementos de visibilidad), destinados al fortalecimiento organizativo y operativo de las Juntas de Acción Comunal de la localidad, de acuerdo con los lineamientos institucionales.</w:t>
      </w:r>
    </w:p>
    <w:p w14:paraId="40CD34D3" w14:textId="77777777" w:rsidR="00C13BED" w:rsidRPr="00C13BED" w:rsidRDefault="00C13BED" w:rsidP="00C13BED">
      <w:pPr>
        <w:pStyle w:val="NormalWeb"/>
        <w:spacing w:before="0" w:beforeAutospacing="0" w:after="0" w:afterAutospacing="0"/>
        <w:ind w:left="720"/>
        <w:jc w:val="both"/>
        <w:rPr>
          <w:rFonts w:ascii="Garamond" w:hAnsi="Garamond"/>
        </w:rPr>
      </w:pPr>
    </w:p>
    <w:p w14:paraId="1C19E8A2" w14:textId="1B704D5C" w:rsidR="004051D4" w:rsidRDefault="004051D4" w:rsidP="00C13BED">
      <w:pPr>
        <w:pStyle w:val="NormalWeb"/>
        <w:numPr>
          <w:ilvl w:val="0"/>
          <w:numId w:val="22"/>
        </w:numPr>
        <w:spacing w:before="0" w:beforeAutospacing="0" w:after="0" w:afterAutospacing="0"/>
        <w:jc w:val="both"/>
        <w:rPr>
          <w:rFonts w:ascii="Garamond" w:hAnsi="Garamond"/>
        </w:rPr>
      </w:pPr>
      <w:r w:rsidRPr="00A71B04">
        <w:rPr>
          <w:rFonts w:ascii="Garamond" w:hAnsi="Garamond"/>
        </w:rPr>
        <w:t>Apoyar</w:t>
      </w:r>
      <w:r w:rsidRPr="00A71B04">
        <w:rPr>
          <w:rStyle w:val="Textoennegrita"/>
          <w:rFonts w:ascii="Garamond" w:hAnsi="Garamond"/>
        </w:rPr>
        <w:t xml:space="preserve"> el ejercicio de la participación ciudadana y la gestión comunitaria</w:t>
      </w:r>
      <w:r w:rsidRPr="00A71B04">
        <w:rPr>
          <w:rFonts w:ascii="Garamond" w:hAnsi="Garamond"/>
        </w:rPr>
        <w:t>, dotando a las JAC de insumos que les permitan desarrollar sus funciones administrativas, sociales y comunitarias de manera más eficiente y autónoma.</w:t>
      </w:r>
    </w:p>
    <w:p w14:paraId="3E547992" w14:textId="77777777" w:rsidR="00C13BED" w:rsidRPr="00A71B04" w:rsidRDefault="00C13BED" w:rsidP="00C13BED">
      <w:pPr>
        <w:pStyle w:val="NormalWeb"/>
        <w:spacing w:before="0" w:beforeAutospacing="0" w:after="0" w:afterAutospacing="0"/>
        <w:jc w:val="both"/>
        <w:rPr>
          <w:rFonts w:ascii="Garamond" w:hAnsi="Garamond"/>
        </w:rPr>
      </w:pPr>
    </w:p>
    <w:p w14:paraId="28FE5908" w14:textId="3144311A" w:rsidR="004051D4" w:rsidRDefault="004051D4" w:rsidP="00C13BED">
      <w:pPr>
        <w:pStyle w:val="NormalWeb"/>
        <w:numPr>
          <w:ilvl w:val="0"/>
          <w:numId w:val="22"/>
        </w:numPr>
        <w:spacing w:before="0" w:beforeAutospacing="0" w:after="0" w:afterAutospacing="0"/>
        <w:jc w:val="both"/>
        <w:rPr>
          <w:rFonts w:ascii="Garamond" w:hAnsi="Garamond"/>
        </w:rPr>
      </w:pPr>
      <w:r w:rsidRPr="00A71B04">
        <w:rPr>
          <w:rFonts w:ascii="Garamond" w:hAnsi="Garamond"/>
        </w:rPr>
        <w:t>Garantizar</w:t>
      </w:r>
      <w:r w:rsidRPr="00A71B04">
        <w:rPr>
          <w:rStyle w:val="Textoennegrita"/>
          <w:rFonts w:ascii="Garamond" w:hAnsi="Garamond"/>
        </w:rPr>
        <w:t xml:space="preserve"> una contratación transparente, eficiente y ajustada a los principios de la función pública</w:t>
      </w:r>
      <w:r w:rsidRPr="00A71B04">
        <w:rPr>
          <w:rFonts w:ascii="Garamond" w:hAnsi="Garamond"/>
        </w:rPr>
        <w:t>, bajo los criterios de economía, publicidad, responsabilidad y selección objetiva, propios de la modalidad de menor cuantía.</w:t>
      </w:r>
    </w:p>
    <w:p w14:paraId="201C9308" w14:textId="77777777" w:rsidR="00C13BED" w:rsidRDefault="00C13BED" w:rsidP="00C13BED">
      <w:pPr>
        <w:pStyle w:val="NormalWeb"/>
        <w:spacing w:before="0" w:beforeAutospacing="0" w:after="0" w:afterAutospacing="0"/>
        <w:jc w:val="both"/>
        <w:rPr>
          <w:rFonts w:ascii="Garamond" w:hAnsi="Garamond"/>
        </w:rPr>
      </w:pPr>
    </w:p>
    <w:p w14:paraId="40AA5B01" w14:textId="7C08D159" w:rsidR="004051D4" w:rsidRDefault="004051D4" w:rsidP="00C13BED">
      <w:pPr>
        <w:pStyle w:val="NormalWeb"/>
        <w:numPr>
          <w:ilvl w:val="0"/>
          <w:numId w:val="22"/>
        </w:numPr>
        <w:spacing w:before="0" w:beforeAutospacing="0" w:after="0" w:afterAutospacing="0"/>
        <w:jc w:val="both"/>
        <w:rPr>
          <w:rFonts w:ascii="Garamond" w:hAnsi="Garamond"/>
        </w:rPr>
      </w:pPr>
      <w:r w:rsidRPr="00A71B04">
        <w:rPr>
          <w:rFonts w:ascii="Garamond" w:hAnsi="Garamond"/>
        </w:rPr>
        <w:t>Promover</w:t>
      </w:r>
      <w:r w:rsidRPr="00A71B04">
        <w:rPr>
          <w:rStyle w:val="Textoennegrita"/>
          <w:rFonts w:ascii="Garamond" w:hAnsi="Garamond"/>
        </w:rPr>
        <w:t xml:space="preserve"> el fortalecimiento institucional de las JAC</w:t>
      </w:r>
      <w:r w:rsidRPr="00A71B04">
        <w:rPr>
          <w:rFonts w:ascii="Garamond" w:hAnsi="Garamond"/>
        </w:rPr>
        <w:t>, como actores clave en el desarrollo local y en la ejecución de proyectos comunitarios, mediante la entrega oportuna y adecuada de los bienes requeridos.</w:t>
      </w:r>
    </w:p>
    <w:p w14:paraId="79543346" w14:textId="77777777" w:rsidR="00C13BED" w:rsidRPr="00A71B04" w:rsidRDefault="00C13BED" w:rsidP="00C13BED">
      <w:pPr>
        <w:pStyle w:val="NormalWeb"/>
        <w:spacing w:before="0" w:beforeAutospacing="0" w:after="0" w:afterAutospacing="0"/>
        <w:jc w:val="both"/>
        <w:rPr>
          <w:rFonts w:ascii="Garamond" w:hAnsi="Garamond"/>
        </w:rPr>
      </w:pPr>
    </w:p>
    <w:p w14:paraId="6271F9B2" w14:textId="77777777" w:rsidR="004051D4" w:rsidRPr="00BF757C" w:rsidRDefault="004051D4" w:rsidP="004051D4">
      <w:pPr>
        <w:jc w:val="both"/>
        <w:rPr>
          <w:rFonts w:ascii="Garamond" w:eastAsia="Garamond" w:hAnsi="Garamond" w:cs="Garamond"/>
        </w:rPr>
      </w:pPr>
      <w:r w:rsidRPr="00BF757C">
        <w:rPr>
          <w:rFonts w:ascii="Garamond" w:eastAsia="Garamond" w:hAnsi="Garamond" w:cs="Garamond"/>
        </w:rPr>
        <w:t xml:space="preserve">Tratándose de una contratación de menor cuantía, es necesario tener en cuenta, </w:t>
      </w:r>
      <w:r w:rsidRPr="00BF757C">
        <w:rPr>
          <w:rStyle w:val="Textoennegrita"/>
          <w:rFonts w:ascii="Garamond" w:hAnsi="Garamond"/>
        </w:rPr>
        <w:t>criterios y condiciones normativas, técnicas y administrativas</w:t>
      </w:r>
      <w:r w:rsidRPr="00BF757C">
        <w:rPr>
          <w:rFonts w:ascii="Garamond" w:hAnsi="Garamond"/>
        </w:rPr>
        <w:t xml:space="preserve"> que garanticen la legalidad, eficiencia, transparencia y economía del proceso</w:t>
      </w:r>
      <w:r w:rsidRPr="00BF757C">
        <w:rPr>
          <w:rFonts w:ascii="Garamond" w:eastAsia="Garamond" w:hAnsi="Garamond" w:cs="Garamond"/>
        </w:rPr>
        <w:t>, además el objeto del Proceso de Contratación, particularmente las condiciones del contrato, como los plazos y formas de entrega y de pago. El análisis del sector debe permitir a la Entidad Estatal sustentar su decisión de la modalidad de contratación, la elección del proveedor y la forma en que se pacta el contrato, por lo anteriormente expuesto se presenta el siguiente análisis de sector</w:t>
      </w:r>
    </w:p>
    <w:p w14:paraId="498514AE" w14:textId="77777777" w:rsidR="004051D4" w:rsidRPr="00BF757C" w:rsidRDefault="004051D4" w:rsidP="004051D4">
      <w:pPr>
        <w:jc w:val="both"/>
        <w:rPr>
          <w:rFonts w:ascii="Garamond" w:eastAsia="Garamond" w:hAnsi="Garamond" w:cs="Garamond"/>
        </w:rPr>
      </w:pPr>
    </w:p>
    <w:p w14:paraId="79CA51E5" w14:textId="2340772F" w:rsidR="0094434A" w:rsidRDefault="004051D4" w:rsidP="004051D4">
      <w:pPr>
        <w:jc w:val="both"/>
        <w:rPr>
          <w:rFonts w:ascii="Garamond" w:hAnsi="Garamond" w:cs="Arial"/>
          <w:b/>
          <w:bCs/>
        </w:rPr>
      </w:pPr>
      <w:r w:rsidRPr="00BF757C">
        <w:rPr>
          <w:rFonts w:ascii="Garamond" w:eastAsia="Garamond" w:hAnsi="Garamond" w:cs="Garamond"/>
        </w:rPr>
        <w:lastRenderedPageBreak/>
        <w:t xml:space="preserve">El contrato que se pretende celebrar tendrá por objeto </w:t>
      </w:r>
      <w:r>
        <w:rPr>
          <w:rFonts w:ascii="Garamond" w:eastAsia="Garamond" w:hAnsi="Garamond" w:cs="Garamond"/>
        </w:rPr>
        <w:t>“</w:t>
      </w:r>
      <w:r>
        <w:rPr>
          <w:rFonts w:ascii="Garamond" w:hAnsi="Garamond" w:cs="Arial"/>
          <w:b/>
          <w:bCs/>
        </w:rPr>
        <w:t xml:space="preserve">CONTRATAR A MONTO AGOTABLE LA ADQUISICIÓN Y DISTRIBUCIÓN DE ELEMENTOS PARA DOTAR A LAS JUNTAS DE ACCIÓN </w:t>
      </w:r>
    </w:p>
    <w:p w14:paraId="11772A16" w14:textId="22DC558A" w:rsidR="004051D4" w:rsidRDefault="004051D4" w:rsidP="004051D4">
      <w:pPr>
        <w:jc w:val="both"/>
        <w:rPr>
          <w:rFonts w:ascii="Garamond" w:eastAsia="Garamond" w:hAnsi="Garamond" w:cs="Garamond"/>
        </w:rPr>
      </w:pPr>
      <w:r>
        <w:rPr>
          <w:rFonts w:ascii="Garamond" w:hAnsi="Garamond" w:cs="Arial"/>
          <w:b/>
          <w:bCs/>
        </w:rPr>
        <w:t>COMUNAL A TRAVÉS DE ELEMENTOS PARA EL FORTALECIMIENTO DE SUS CAPACIDADES OPERATIVAS Y DE GESTIÓN SOCIAL EN LOS TERRITORIOS</w:t>
      </w:r>
      <w:r>
        <w:rPr>
          <w:rFonts w:ascii="Garamond" w:hAnsi="Garamond"/>
        </w:rPr>
        <w:t>”.</w:t>
      </w:r>
      <w:r w:rsidRPr="00BF757C">
        <w:rPr>
          <w:rFonts w:ascii="Garamond" w:eastAsia="Garamond" w:hAnsi="Garamond" w:cs="Garamond"/>
        </w:rPr>
        <w:t xml:space="preserve"> por selección de menor cuantía.</w:t>
      </w:r>
    </w:p>
    <w:p w14:paraId="46641B10" w14:textId="77777777" w:rsidR="0094434A" w:rsidRPr="00BF757C" w:rsidRDefault="0094434A" w:rsidP="004051D4">
      <w:pPr>
        <w:jc w:val="both"/>
        <w:rPr>
          <w:rFonts w:ascii="Garamond" w:eastAsia="Garamond" w:hAnsi="Garamond" w:cs="Garamond"/>
        </w:rPr>
      </w:pPr>
    </w:p>
    <w:p w14:paraId="23963D6D" w14:textId="77777777" w:rsidR="004051D4" w:rsidRPr="0094434A" w:rsidRDefault="004051D4" w:rsidP="005A6698">
      <w:pPr>
        <w:pStyle w:val="Ttulo2"/>
        <w:numPr>
          <w:ilvl w:val="0"/>
          <w:numId w:val="8"/>
        </w:numPr>
        <w:ind w:left="720"/>
        <w:rPr>
          <w:rFonts w:ascii="Garamond" w:eastAsia="Garamond" w:hAnsi="Garamond" w:cs="Garamond"/>
          <w:b/>
          <w:bCs/>
          <w:color w:val="auto"/>
          <w:sz w:val="22"/>
          <w:szCs w:val="22"/>
        </w:rPr>
      </w:pPr>
      <w:r w:rsidRPr="0094434A">
        <w:rPr>
          <w:rFonts w:ascii="Garamond" w:eastAsia="Garamond" w:hAnsi="Garamond" w:cs="Garamond"/>
          <w:b/>
          <w:bCs/>
          <w:color w:val="auto"/>
          <w:sz w:val="22"/>
          <w:szCs w:val="22"/>
        </w:rPr>
        <w:t>JUSTIFICACIÓN TÉCNICA</w:t>
      </w:r>
    </w:p>
    <w:p w14:paraId="55BF3140" w14:textId="77777777" w:rsidR="004051D4" w:rsidRPr="0094434A" w:rsidRDefault="004051D4" w:rsidP="004051D4">
      <w:pPr>
        <w:pStyle w:val="Ttulo2"/>
        <w:rPr>
          <w:rFonts w:ascii="Garamond" w:eastAsia="Garamond" w:hAnsi="Garamond" w:cs="Garamond"/>
          <w:color w:val="auto"/>
          <w:sz w:val="22"/>
          <w:szCs w:val="22"/>
        </w:rPr>
      </w:pPr>
      <w:r w:rsidRPr="0094434A">
        <w:rPr>
          <w:rFonts w:ascii="Garamond" w:eastAsia="Garamond" w:hAnsi="Garamond" w:cs="Garamond"/>
          <w:color w:val="auto"/>
          <w:sz w:val="22"/>
          <w:szCs w:val="22"/>
        </w:rPr>
        <w:t>1.1. Descripción de la necesidad:</w:t>
      </w:r>
    </w:p>
    <w:p w14:paraId="22D13600" w14:textId="77777777" w:rsidR="004051D4" w:rsidRPr="00BF757C" w:rsidRDefault="004051D4" w:rsidP="004051D4">
      <w:pPr>
        <w:pBdr>
          <w:top w:val="nil"/>
          <w:left w:val="nil"/>
          <w:bottom w:val="nil"/>
          <w:right w:val="nil"/>
          <w:between w:val="nil"/>
        </w:pBdr>
        <w:spacing w:before="14"/>
        <w:jc w:val="both"/>
        <w:rPr>
          <w:rFonts w:ascii="Garamond" w:eastAsia="Garamond" w:hAnsi="Garamond" w:cs="Garamond"/>
          <w:b/>
          <w:color w:val="000000"/>
        </w:rPr>
      </w:pPr>
    </w:p>
    <w:p w14:paraId="4F1157FE" w14:textId="77777777" w:rsidR="004051D4" w:rsidRPr="00BF757C" w:rsidRDefault="004051D4" w:rsidP="004051D4">
      <w:pPr>
        <w:widowControl/>
        <w:jc w:val="both"/>
        <w:rPr>
          <w:rFonts w:ascii="Garamond" w:eastAsia="Garamond" w:hAnsi="Garamond" w:cs="Garamond"/>
        </w:rPr>
      </w:pPr>
      <w:r w:rsidRPr="00BF757C">
        <w:rPr>
          <w:rFonts w:ascii="Garamond" w:eastAsia="Garamond" w:hAnsi="Garamond" w:cs="Garamond"/>
        </w:rPr>
        <w:t xml:space="preserve">Uno de los principales problemas que existe en la gestión pública local, es la desconfianza generalizada hacia las instituciones gubernamentales. Estudios señalan que, en contextos de alta vulnerabilidad, como es el caso de San Cristóbal, los ciudadanos suelen percibir que los mecanismos de participación no generan cambios reales en sus comunidades, lo cual disminuye el interés en participar. La desconfianza en las instituciones se debe en gran parte a la falta de transparencia y continuidad en los proyectos locales. Otro obstáculo importante es la falta de información clara sobre los canales de participación disponibles. En muchas ocasiones, los ciudadanos no están al tanto de las herramientas que existen para involucrarse en la gestión pública, como los Consejos de Planeación Local (CPL) o los presupuestos participativos. Además de esto, la falta de infraestructura y conectividad digital en zonas vulnerables dificulta el acceso de la población a las convocatorias y oportunidades de participación. Además, la escasa difusión de los eventos y proyectos de la administración local agrava este problema, generando una desconexión entre los ciudadanos y las políticas públicas que afectan su entorno. La situación socioeconómica en San Cristóbal también afecta la disposición de sus habitantes a participar en asuntos públicos. Muchos residentes priorizan actividades laborales y responsabilidades familiares sobre la participación en espacios comunitarios, debido a la necesidad de garantizar el sustento diario. Esta situación es común en localidades con altos índices de pobreza, donde la participación en la vida pública queda en un segundo plano frente a las necesidades económicas inmediatas </w:t>
      </w:r>
    </w:p>
    <w:p w14:paraId="67699BBD" w14:textId="77777777" w:rsidR="004051D4" w:rsidRPr="00BF757C" w:rsidRDefault="004051D4" w:rsidP="004051D4">
      <w:pPr>
        <w:widowControl/>
        <w:jc w:val="both"/>
        <w:rPr>
          <w:rFonts w:ascii="Garamond" w:eastAsia="Garamond" w:hAnsi="Garamond" w:cs="Garamond"/>
          <w:color w:val="FF0000"/>
        </w:rPr>
      </w:pPr>
    </w:p>
    <w:p w14:paraId="59889426" w14:textId="77777777" w:rsidR="004051D4" w:rsidRPr="00BF757C" w:rsidRDefault="004051D4" w:rsidP="004051D4">
      <w:pPr>
        <w:widowControl/>
        <w:jc w:val="both"/>
        <w:rPr>
          <w:rFonts w:ascii="Garamond" w:eastAsia="Garamond" w:hAnsi="Garamond" w:cs="Garamond"/>
        </w:rPr>
      </w:pPr>
      <w:r w:rsidRPr="00BF757C">
        <w:rPr>
          <w:rFonts w:ascii="Garamond" w:eastAsia="Garamond" w:hAnsi="Garamond" w:cs="Garamond"/>
        </w:rPr>
        <w:t xml:space="preserve">En el marco del desarrollo del Acuerdo Local No 136 por el cual se adopta el Plan de Desarrollo Económico, Social, Ambiental y de Obras Públicas para la localidad de San Cristóbal para el periodo 2025 - 2028 “San Cristóbal Territorio de Oportunidades, Camina Segura”, el cual constituye el referente de las acciones, políticas, programas, estrategias y proyectos de la Administración Local" y en virtud del Objetivo Estratégico No 5. “Bogotá confía en su gobierno,” en su programa 39. “Camino hacia una democracia deliberativa con un gobierno cercano a la gente y con participación ciudadana,” el presente proyecto </w:t>
      </w:r>
      <w:r w:rsidRPr="00BF757C">
        <w:rPr>
          <w:rFonts w:ascii="Garamond" w:eastAsia="Garamond" w:hAnsi="Garamond" w:cs="Garamond"/>
          <w:b/>
        </w:rPr>
        <w:t>2409 San Cristóbal Incidente</w:t>
      </w:r>
      <w:r w:rsidRPr="00BF757C">
        <w:rPr>
          <w:rFonts w:ascii="Garamond" w:eastAsia="Garamond" w:hAnsi="Garamond" w:cs="Garamond"/>
        </w:rPr>
        <w:t>, dará cumplimiento a la meta propuesta para la vigencia 2025 – 2028 “Fortalecer 100 organizaciones comunales.” A través de procesos de dotación de 20 Juntas de Acción Comunal de la Localidad de San Cristóbal.</w:t>
      </w:r>
    </w:p>
    <w:p w14:paraId="67A8649F" w14:textId="77777777" w:rsidR="004051D4" w:rsidRPr="00BF757C" w:rsidRDefault="004051D4" w:rsidP="004051D4">
      <w:pPr>
        <w:widowControl/>
        <w:jc w:val="both"/>
        <w:rPr>
          <w:rFonts w:ascii="Garamond" w:eastAsia="Garamond" w:hAnsi="Garamond" w:cs="Garamond"/>
        </w:rPr>
      </w:pPr>
    </w:p>
    <w:p w14:paraId="42291A67" w14:textId="77777777" w:rsidR="004051D4" w:rsidRDefault="004051D4" w:rsidP="004051D4">
      <w:pPr>
        <w:widowControl/>
        <w:jc w:val="both"/>
        <w:rPr>
          <w:rFonts w:ascii="Garamond" w:eastAsia="Garamond" w:hAnsi="Garamond" w:cs="Garamond"/>
        </w:rPr>
      </w:pPr>
      <w:r w:rsidRPr="00BF757C">
        <w:rPr>
          <w:rFonts w:ascii="Garamond" w:eastAsia="Garamond" w:hAnsi="Garamond" w:cs="Garamond"/>
        </w:rPr>
        <w:t xml:space="preserve">La participación ciudadana constituye una pieza fundamental del modelo de Gobierno Abierto en la ciudad, El proyecto </w:t>
      </w:r>
      <w:r w:rsidRPr="00BF757C">
        <w:rPr>
          <w:rFonts w:ascii="Garamond" w:eastAsia="Garamond" w:hAnsi="Garamond" w:cs="Garamond"/>
          <w:b/>
        </w:rPr>
        <w:t>2409 San Cristóbal Incidente</w:t>
      </w:r>
      <w:r w:rsidRPr="00BF757C">
        <w:rPr>
          <w:rFonts w:ascii="Garamond" w:eastAsia="Garamond" w:hAnsi="Garamond" w:cs="Garamond"/>
        </w:rPr>
        <w:t xml:space="preserve"> aporta al fortalecimiento de la confianza ciudadana en las instituciones, al mejoramiento de las políticas, programas y proyectos en proceso de diseño e implementación, así como a la generación de entornos favorables para que los intereses de la ciudadanía puedan expresarse en el escenario de lo público. En la actualidad, la localidad de San Cristóbal está conformada por cinco Unidades de Planeamiento Zonal (UPZ): San Blas, La Gloria, Los Libertadores, 20 de Julio y Sosiego, donde habitan 394,358 personas y que abarcan 1629 hectáreas que son de suelo urbano. Adicionalmente, cuenta con una extensión rural que incluye los cerros orientales con 3280 hectáreas, para un área total de 4909 hectáreas (Secretaría Distrital de Planeación [SDP]b., </w:t>
      </w:r>
      <w:r w:rsidRPr="00BF757C">
        <w:rPr>
          <w:rFonts w:ascii="Garamond" w:eastAsia="Garamond" w:hAnsi="Garamond" w:cs="Garamond"/>
        </w:rPr>
        <w:lastRenderedPageBreak/>
        <w:t xml:space="preserve">2020: 10). De las 3136 manzanas en las que se encuentra distribuida, el 13.1% no reportan ningún estrato, el 10.6% en estrato uno, el 67.2% en estrato dos, y el 9.1% en estrato tres (Secretaría Distrital de Planeación [SDP], 2020: 74). </w:t>
      </w:r>
    </w:p>
    <w:p w14:paraId="3DE6B7D0" w14:textId="77777777" w:rsidR="004051D4" w:rsidRPr="00BF757C" w:rsidRDefault="004051D4" w:rsidP="004051D4">
      <w:pPr>
        <w:widowControl/>
        <w:jc w:val="both"/>
        <w:rPr>
          <w:rFonts w:ascii="Garamond" w:eastAsia="Garamond" w:hAnsi="Garamond" w:cs="Garamond"/>
        </w:rPr>
      </w:pPr>
    </w:p>
    <w:p w14:paraId="57266A99" w14:textId="77777777" w:rsidR="004051D4" w:rsidRPr="00BF757C" w:rsidRDefault="004051D4" w:rsidP="004051D4">
      <w:pPr>
        <w:widowControl/>
        <w:jc w:val="both"/>
        <w:rPr>
          <w:rFonts w:ascii="Garamond" w:eastAsia="Garamond" w:hAnsi="Garamond" w:cs="Garamond"/>
        </w:rPr>
      </w:pPr>
      <w:r w:rsidRPr="00BF757C">
        <w:rPr>
          <w:rFonts w:ascii="Garamond" w:eastAsia="Garamond" w:hAnsi="Garamond" w:cs="Garamond"/>
        </w:rPr>
        <w:t>En el entendido de que la participación ciudadana es un Derecho fundamental contemplado constitucionalmente, y que su marco de acción se define a través de la Política Pública de Participación Ciudadana incidente; desde el Fondo de Desarrollo Local de San Cristóbal se busca promover que éste ejercicio trascienda a la implementación de procesos incidentes y decisorios, permitiendo que los actores sociales de la localidad, se involucren y sean protagonistas en el diseño y formulación de proyectos de orden local, permitiendo así, que las necesidades y prioridades de la comunidad se proyecten  adecuadamente.</w:t>
      </w:r>
    </w:p>
    <w:p w14:paraId="77D446B8" w14:textId="77777777" w:rsidR="004051D4" w:rsidRPr="00BF757C" w:rsidRDefault="004051D4" w:rsidP="004051D4">
      <w:pPr>
        <w:widowControl/>
        <w:jc w:val="both"/>
        <w:rPr>
          <w:rFonts w:ascii="Garamond" w:eastAsia="Garamond" w:hAnsi="Garamond" w:cs="Garamond"/>
        </w:rPr>
      </w:pPr>
    </w:p>
    <w:p w14:paraId="25AA0A90" w14:textId="77777777" w:rsidR="004051D4" w:rsidRPr="00BF757C" w:rsidRDefault="004051D4" w:rsidP="004051D4">
      <w:pPr>
        <w:widowControl/>
        <w:jc w:val="both"/>
        <w:rPr>
          <w:rFonts w:ascii="Garamond" w:eastAsia="Garamond" w:hAnsi="Garamond" w:cs="Garamond"/>
        </w:rPr>
      </w:pPr>
      <w:r w:rsidRPr="00BF757C">
        <w:rPr>
          <w:rFonts w:ascii="Garamond" w:eastAsia="Garamond" w:hAnsi="Garamond" w:cs="Garamond"/>
        </w:rPr>
        <w:t xml:space="preserve">De ésta manera, se hace necesario realizar un contrato a través del cual se desarrollen procesos para iniciativas comunitarias de fortalecimiento de organizaciones comunales, con el fin de incrementar las capacidades organizativas para contribuir a la transformación de realidades sociales y territoriales, promoviendo la incidencia en la toma de decisiones públicas, la consolidación de la convivencia, la diversidad y la inclusión ciudadana; necesidad que se fundamenta en  impulsar un desarrollo más inclusivo y participativo en nuestras comunidades. El fortalecimiento mediante la Dotación a las juntas de acción comunal lograra </w:t>
      </w:r>
      <w:r w:rsidRPr="00BF757C">
        <w:rPr>
          <w:rFonts w:ascii="Garamond" w:hAnsi="Garamond"/>
        </w:rPr>
        <w:t>garantizar su funcionamiento adecuado y autónomo, es necesario proveerles elementos de dotación que les permitan operar en condiciones dignas, facilitar la participación ciudadana, el desarrollo de reuniones, la elaboración de proyectos y la interacción con entidades públicas y privadas. Esta dotación contribuye al fortalecimiento institucional, organizativo y territorial.</w:t>
      </w:r>
    </w:p>
    <w:p w14:paraId="07640AC3" w14:textId="77777777" w:rsidR="004051D4" w:rsidRPr="00BF757C" w:rsidRDefault="004051D4" w:rsidP="004051D4">
      <w:pPr>
        <w:widowControl/>
        <w:jc w:val="both"/>
        <w:rPr>
          <w:rFonts w:ascii="Garamond" w:eastAsia="Garamond" w:hAnsi="Garamond" w:cs="Garamond"/>
        </w:rPr>
      </w:pPr>
    </w:p>
    <w:p w14:paraId="23FD8327" w14:textId="77777777" w:rsidR="004051D4" w:rsidRPr="00BF757C" w:rsidRDefault="004051D4" w:rsidP="004051D4">
      <w:pPr>
        <w:widowControl/>
        <w:jc w:val="both"/>
        <w:rPr>
          <w:rStyle w:val="Textoennegrita"/>
          <w:rFonts w:ascii="Garamond" w:eastAsia="Garamond" w:hAnsi="Garamond" w:cs="Garamond"/>
          <w:b w:val="0"/>
          <w:bCs w:val="0"/>
        </w:rPr>
      </w:pPr>
      <w:r w:rsidRPr="00BF757C">
        <w:rPr>
          <w:rFonts w:ascii="Garamond" w:eastAsia="Garamond" w:hAnsi="Garamond" w:cs="Garamond"/>
        </w:rPr>
        <w:t xml:space="preserve">El proceso de dotación a las Juntas de Acción </w:t>
      </w:r>
      <w:r w:rsidRPr="00A71B04">
        <w:rPr>
          <w:rStyle w:val="Textoennegrita"/>
          <w:rFonts w:ascii="Garamond" w:hAnsi="Garamond"/>
        </w:rPr>
        <w:t>no es solo entregar equipos o mobiliario</w:t>
      </w:r>
      <w:r w:rsidRPr="00BF757C">
        <w:rPr>
          <w:rFonts w:ascii="Garamond" w:hAnsi="Garamond"/>
        </w:rPr>
        <w:t xml:space="preserve">, es </w:t>
      </w:r>
      <w:r w:rsidRPr="00A71B04">
        <w:rPr>
          <w:rStyle w:val="Textoennegrita"/>
          <w:rFonts w:ascii="Garamond" w:hAnsi="Garamond"/>
        </w:rPr>
        <w:t>invertir en la democracia participativa</w:t>
      </w:r>
      <w:r w:rsidRPr="00BF757C">
        <w:rPr>
          <w:rFonts w:ascii="Garamond" w:hAnsi="Garamond"/>
        </w:rPr>
        <w:t xml:space="preserve">, en la capacidad de las comunidades para </w:t>
      </w:r>
      <w:r w:rsidRPr="00A71B04">
        <w:rPr>
          <w:rStyle w:val="Textoennegrita"/>
          <w:rFonts w:ascii="Garamond" w:hAnsi="Garamond"/>
        </w:rPr>
        <w:t>autogestionarse, dialogar con el Estado y generar impacto en su territorio</w:t>
      </w:r>
      <w:r w:rsidRPr="00A71B04">
        <w:rPr>
          <w:rFonts w:ascii="Garamond" w:hAnsi="Garamond"/>
          <w:b/>
          <w:bCs/>
        </w:rPr>
        <w:t>, a</w:t>
      </w:r>
      <w:r w:rsidRPr="00A71B04">
        <w:rPr>
          <w:rStyle w:val="Textoennegrita"/>
          <w:rFonts w:ascii="Garamond" w:hAnsi="Garamond"/>
        </w:rPr>
        <w:t>demás es una inversión estratégica en gobernanza local, participación ciudadana y desarrollo comunitario, que permitirá beneficios como:</w:t>
      </w:r>
      <w:r w:rsidRPr="00BF757C">
        <w:rPr>
          <w:rStyle w:val="Textoennegrita"/>
          <w:rFonts w:ascii="Garamond" w:hAnsi="Garamond"/>
        </w:rPr>
        <w:t xml:space="preserve"> </w:t>
      </w:r>
      <w:r w:rsidRPr="00BF757C">
        <w:rPr>
          <w:rFonts w:ascii="Garamond" w:hAnsi="Garamond"/>
        </w:rPr>
        <w:t xml:space="preserve">1. Fortalecimiento institucional y organizativo. </w:t>
      </w:r>
      <w:r w:rsidRPr="00A71B04">
        <w:rPr>
          <w:rStyle w:val="Textoennegrita"/>
          <w:rFonts w:ascii="Garamond" w:hAnsi="Garamond"/>
        </w:rPr>
        <w:t>2. Fomento de la participación ciudadana. 3. Apoyo a la gestión social y comunitaria.</w:t>
      </w:r>
      <w:r w:rsidRPr="00BF757C">
        <w:rPr>
          <w:rStyle w:val="Textoennegrita"/>
          <w:rFonts w:ascii="Garamond" w:hAnsi="Garamond"/>
        </w:rPr>
        <w:t xml:space="preserve"> </w:t>
      </w:r>
      <w:r w:rsidRPr="00BF757C">
        <w:rPr>
          <w:rFonts w:ascii="Garamond" w:hAnsi="Garamond"/>
        </w:rPr>
        <w:t>4. Mejora en la interlocución con entidades públicas. 5. Contribución al desarrollo territorial. 6. Promoción de la transparencia y legalidad</w:t>
      </w:r>
    </w:p>
    <w:p w14:paraId="4F9D3E5E" w14:textId="77777777" w:rsidR="004051D4" w:rsidRPr="00BF757C" w:rsidRDefault="004051D4" w:rsidP="004051D4">
      <w:pPr>
        <w:widowControl/>
        <w:jc w:val="both"/>
        <w:rPr>
          <w:rStyle w:val="Textoennegrita"/>
          <w:rFonts w:ascii="Garamond" w:hAnsi="Garamond"/>
        </w:rPr>
      </w:pPr>
    </w:p>
    <w:p w14:paraId="5E6E75C3" w14:textId="77777777" w:rsidR="004051D4" w:rsidRPr="00BF757C" w:rsidRDefault="004051D4" w:rsidP="004051D4">
      <w:pPr>
        <w:tabs>
          <w:tab w:val="left" w:pos="709"/>
        </w:tabs>
        <w:jc w:val="both"/>
        <w:rPr>
          <w:rFonts w:ascii="Garamond" w:eastAsia="Garamond" w:hAnsi="Garamond" w:cs="Garamond"/>
        </w:rPr>
      </w:pPr>
    </w:p>
    <w:p w14:paraId="4EA89CF8" w14:textId="77777777" w:rsidR="004051D4" w:rsidRPr="00BF757C" w:rsidRDefault="004051D4" w:rsidP="005A6698">
      <w:pPr>
        <w:pStyle w:val="Prrafodelista"/>
        <w:numPr>
          <w:ilvl w:val="0"/>
          <w:numId w:val="8"/>
        </w:numPr>
        <w:pBdr>
          <w:top w:val="nil"/>
          <w:left w:val="nil"/>
          <w:bottom w:val="nil"/>
          <w:right w:val="nil"/>
          <w:between w:val="nil"/>
        </w:pBdr>
        <w:spacing w:line="235" w:lineRule="auto"/>
        <w:ind w:right="256"/>
        <w:jc w:val="both"/>
        <w:rPr>
          <w:rFonts w:ascii="Garamond" w:eastAsia="Garamond" w:hAnsi="Garamond" w:cs="Garamond"/>
          <w:b/>
          <w:color w:val="000000"/>
          <w:sz w:val="24"/>
          <w:szCs w:val="24"/>
        </w:rPr>
      </w:pPr>
      <w:r w:rsidRPr="00BF757C">
        <w:rPr>
          <w:rFonts w:ascii="Garamond" w:eastAsia="Garamond" w:hAnsi="Garamond" w:cs="Garamond"/>
          <w:b/>
          <w:color w:val="000000"/>
          <w:sz w:val="24"/>
          <w:szCs w:val="24"/>
        </w:rPr>
        <w:t>SECTOR RELATIVO AL OBJETO DEL PROCESO DE CONTRATACIÓN</w:t>
      </w:r>
    </w:p>
    <w:p w14:paraId="359ABBD9" w14:textId="77777777" w:rsidR="004051D4" w:rsidRPr="00BF757C" w:rsidRDefault="004051D4" w:rsidP="004051D4">
      <w:pPr>
        <w:pBdr>
          <w:top w:val="nil"/>
          <w:left w:val="nil"/>
          <w:bottom w:val="nil"/>
          <w:right w:val="nil"/>
          <w:between w:val="nil"/>
        </w:pBdr>
        <w:spacing w:line="235" w:lineRule="auto"/>
        <w:ind w:right="256"/>
        <w:jc w:val="both"/>
        <w:rPr>
          <w:rFonts w:ascii="Garamond" w:eastAsia="Garamond" w:hAnsi="Garamond" w:cs="Garamond"/>
          <w:b/>
          <w:color w:val="000000"/>
        </w:rPr>
      </w:pPr>
    </w:p>
    <w:p w14:paraId="0C2540F0" w14:textId="6035CDFE" w:rsidR="004051D4" w:rsidRDefault="004051D4" w:rsidP="004051D4">
      <w:pPr>
        <w:tabs>
          <w:tab w:val="left" w:pos="1838"/>
        </w:tabs>
        <w:jc w:val="both"/>
        <w:rPr>
          <w:rFonts w:ascii="Garamond" w:eastAsia="Garamond" w:hAnsi="Garamond" w:cs="Garamond"/>
        </w:rPr>
      </w:pPr>
      <w:r w:rsidRPr="00BF757C">
        <w:rPr>
          <w:rFonts w:ascii="Garamond" w:eastAsia="Garamond" w:hAnsi="Garamond" w:cs="Garamond"/>
        </w:rPr>
        <w:t>En el marco del proyecto de formulación, es fundamental identificar y clasificar los sectores económicos a los que pertenecen las empresas que prestarán los servicios requeridos, por ello y de conformidad con el Decreto 1082 de 2015, en especial la definición señalada en su Artículo 2.2.1.1.1.3.1.: “Clasificador de Bienes y Servicios es el sistema de codificación de las Naciones Unidas para estandarizar productos y servicios, conocido por las siglas UNSPSC”. Para la clasificación de los bienes y servicios, objeto de este proceso se tuvo en cuenta la Guía para la codificación de bienes y servicios expedida por Colombia Compra Eficiente.</w:t>
      </w:r>
    </w:p>
    <w:p w14:paraId="0B2C7121" w14:textId="42FCA906" w:rsidR="00C13BED" w:rsidRDefault="00C13BED" w:rsidP="004051D4">
      <w:pPr>
        <w:tabs>
          <w:tab w:val="left" w:pos="1838"/>
        </w:tabs>
        <w:jc w:val="both"/>
        <w:rPr>
          <w:rFonts w:ascii="Garamond" w:eastAsia="Garamond" w:hAnsi="Garamond" w:cs="Garamond"/>
        </w:rPr>
      </w:pPr>
    </w:p>
    <w:p w14:paraId="71ED2132" w14:textId="311F6916" w:rsidR="00C13BED" w:rsidRDefault="00C13BED" w:rsidP="004051D4">
      <w:pPr>
        <w:tabs>
          <w:tab w:val="left" w:pos="1838"/>
        </w:tabs>
        <w:jc w:val="both"/>
        <w:rPr>
          <w:rFonts w:ascii="Garamond" w:eastAsia="Garamond" w:hAnsi="Garamond" w:cs="Garamond"/>
        </w:rPr>
      </w:pPr>
    </w:p>
    <w:p w14:paraId="1D0F3674" w14:textId="77777777" w:rsidR="00C13BED" w:rsidRDefault="00C13BED" w:rsidP="004051D4">
      <w:pPr>
        <w:tabs>
          <w:tab w:val="left" w:pos="1838"/>
        </w:tabs>
        <w:jc w:val="both"/>
        <w:rPr>
          <w:rFonts w:ascii="Garamond" w:eastAsia="Garamond" w:hAnsi="Garamond" w:cs="Garamond"/>
        </w:rPr>
      </w:pPr>
    </w:p>
    <w:p w14:paraId="7E083381" w14:textId="77777777" w:rsidR="004051D4" w:rsidRPr="00BF757C" w:rsidRDefault="004051D4" w:rsidP="004051D4">
      <w:pPr>
        <w:tabs>
          <w:tab w:val="left" w:pos="1838"/>
        </w:tabs>
        <w:jc w:val="both"/>
        <w:rPr>
          <w:rFonts w:ascii="Garamond" w:eastAsia="Garamond" w:hAnsi="Garamond" w:cs="Garamond"/>
        </w:rPr>
      </w:pPr>
    </w:p>
    <w:p w14:paraId="1BACDD7E" w14:textId="77777777" w:rsidR="004051D4" w:rsidRPr="00BF757C" w:rsidRDefault="004051D4" w:rsidP="004051D4">
      <w:pPr>
        <w:pBdr>
          <w:top w:val="nil"/>
          <w:left w:val="nil"/>
          <w:bottom w:val="nil"/>
          <w:right w:val="nil"/>
          <w:between w:val="nil"/>
        </w:pBdr>
        <w:spacing w:line="235" w:lineRule="auto"/>
        <w:ind w:right="256"/>
        <w:jc w:val="both"/>
        <w:rPr>
          <w:rFonts w:ascii="Garamond" w:eastAsia="Garamond" w:hAnsi="Garamond" w:cs="Garamond"/>
          <w:b/>
          <w:color w:val="000000"/>
        </w:rPr>
      </w:pPr>
    </w:p>
    <w:p w14:paraId="51B9E78A" w14:textId="77777777" w:rsidR="004051D4" w:rsidRPr="00BF757C" w:rsidRDefault="004051D4" w:rsidP="005A6698">
      <w:pPr>
        <w:pStyle w:val="Prrafodelista"/>
        <w:numPr>
          <w:ilvl w:val="1"/>
          <w:numId w:val="8"/>
        </w:numPr>
        <w:pBdr>
          <w:top w:val="nil"/>
          <w:left w:val="nil"/>
          <w:bottom w:val="nil"/>
          <w:right w:val="nil"/>
          <w:between w:val="nil"/>
        </w:pBdr>
        <w:spacing w:line="235" w:lineRule="auto"/>
        <w:ind w:right="256"/>
        <w:jc w:val="both"/>
        <w:rPr>
          <w:rFonts w:ascii="Garamond" w:eastAsia="Garamond" w:hAnsi="Garamond" w:cs="Garamond"/>
          <w:b/>
          <w:color w:val="000000"/>
          <w:sz w:val="24"/>
          <w:szCs w:val="24"/>
        </w:rPr>
      </w:pPr>
      <w:r w:rsidRPr="00BF757C">
        <w:rPr>
          <w:rFonts w:ascii="Garamond" w:eastAsia="Garamond" w:hAnsi="Garamond" w:cs="Garamond"/>
          <w:b/>
          <w:color w:val="000000"/>
          <w:sz w:val="24"/>
          <w:szCs w:val="24"/>
        </w:rPr>
        <w:lastRenderedPageBreak/>
        <w:t>Identificación del sector económico al cual pertenece la necesidad.</w:t>
      </w:r>
    </w:p>
    <w:p w14:paraId="63F47EE2" w14:textId="77777777" w:rsidR="004051D4" w:rsidRPr="00BF757C" w:rsidRDefault="004051D4" w:rsidP="004051D4">
      <w:pPr>
        <w:pBdr>
          <w:top w:val="nil"/>
          <w:left w:val="nil"/>
          <w:bottom w:val="nil"/>
          <w:right w:val="nil"/>
          <w:between w:val="nil"/>
        </w:pBdr>
        <w:spacing w:line="235" w:lineRule="auto"/>
        <w:ind w:right="256"/>
        <w:jc w:val="both"/>
        <w:rPr>
          <w:rFonts w:ascii="Garamond" w:eastAsia="Garamond" w:hAnsi="Garamond" w:cs="Garamond"/>
          <w:color w:val="000000"/>
        </w:rPr>
      </w:pPr>
    </w:p>
    <w:p w14:paraId="008ADF7A" w14:textId="6AABE9D0" w:rsidR="00C13BED" w:rsidRDefault="004051D4" w:rsidP="004051D4">
      <w:pPr>
        <w:pBdr>
          <w:top w:val="nil"/>
          <w:left w:val="nil"/>
          <w:bottom w:val="nil"/>
          <w:right w:val="nil"/>
          <w:between w:val="nil"/>
        </w:pBdr>
        <w:spacing w:line="235" w:lineRule="auto"/>
        <w:ind w:right="-93"/>
        <w:jc w:val="both"/>
        <w:rPr>
          <w:rFonts w:ascii="Garamond" w:eastAsia="Garamond" w:hAnsi="Garamond" w:cs="Garamond"/>
          <w:color w:val="000000"/>
        </w:rPr>
      </w:pPr>
      <w:r w:rsidRPr="00BF757C">
        <w:rPr>
          <w:rFonts w:ascii="Garamond" w:eastAsia="Garamond" w:hAnsi="Garamond" w:cs="Garamond"/>
          <w:color w:val="000000"/>
        </w:rPr>
        <w:t>El objeto contractual se clasifica en los siguientes códigos del Clasificador de Bienes y Servicios:</w:t>
      </w:r>
    </w:p>
    <w:p w14:paraId="5CF75787" w14:textId="77777777" w:rsidR="0094434A" w:rsidRDefault="0094434A" w:rsidP="004051D4">
      <w:pPr>
        <w:pBdr>
          <w:top w:val="nil"/>
          <w:left w:val="nil"/>
          <w:bottom w:val="nil"/>
          <w:right w:val="nil"/>
          <w:between w:val="nil"/>
        </w:pBdr>
        <w:spacing w:line="235" w:lineRule="auto"/>
        <w:ind w:right="-93"/>
        <w:jc w:val="both"/>
        <w:rPr>
          <w:rFonts w:ascii="Garamond" w:eastAsia="Garamond" w:hAnsi="Garamond" w:cs="Garamond"/>
          <w:color w:val="000000"/>
        </w:rPr>
      </w:pPr>
    </w:p>
    <w:p w14:paraId="6C276BFE" w14:textId="77777777" w:rsidR="004051D4" w:rsidRPr="00BF757C" w:rsidRDefault="004051D4" w:rsidP="004051D4">
      <w:pPr>
        <w:pBdr>
          <w:top w:val="nil"/>
          <w:left w:val="nil"/>
          <w:bottom w:val="nil"/>
          <w:right w:val="nil"/>
          <w:between w:val="nil"/>
        </w:pBdr>
        <w:spacing w:line="235" w:lineRule="auto"/>
        <w:ind w:right="-93"/>
        <w:jc w:val="both"/>
        <w:rPr>
          <w:rFonts w:ascii="Garamond" w:eastAsia="Garamond" w:hAnsi="Garamond" w:cs="Garamond"/>
          <w:color w:val="00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8"/>
        <w:gridCol w:w="2232"/>
        <w:gridCol w:w="1788"/>
        <w:gridCol w:w="1403"/>
        <w:gridCol w:w="1533"/>
      </w:tblGrid>
      <w:tr w:rsidR="004051D4" w:rsidRPr="00D94A39" w14:paraId="53ADBC3F" w14:textId="77777777" w:rsidTr="00B70AA0">
        <w:trPr>
          <w:trHeight w:val="585"/>
          <w:jc w:val="center"/>
        </w:trPr>
        <w:tc>
          <w:tcPr>
            <w:tcW w:w="1838" w:type="dxa"/>
            <w:shd w:val="clear" w:color="auto" w:fill="D9D9D9" w:themeFill="background1" w:themeFillShade="D9"/>
            <w:tcMar>
              <w:top w:w="0" w:type="dxa"/>
              <w:left w:w="70" w:type="dxa"/>
              <w:bottom w:w="0" w:type="dxa"/>
              <w:right w:w="70" w:type="dxa"/>
            </w:tcMar>
            <w:vAlign w:val="center"/>
            <w:hideMark/>
          </w:tcPr>
          <w:p w14:paraId="3F66D2B4" w14:textId="77777777" w:rsidR="004051D4" w:rsidRPr="00AE3B29" w:rsidRDefault="004051D4" w:rsidP="005924F0">
            <w:pPr>
              <w:autoSpaceDE w:val="0"/>
              <w:jc w:val="center"/>
              <w:rPr>
                <w:rFonts w:ascii="Garamond" w:hAnsi="Garamond" w:cs="Arial"/>
                <w:b/>
                <w:bCs/>
                <w:sz w:val="20"/>
                <w:szCs w:val="20"/>
              </w:rPr>
            </w:pPr>
            <w:r w:rsidRPr="00AE3B29">
              <w:rPr>
                <w:rFonts w:ascii="Garamond" w:hAnsi="Garamond" w:cs="Arial"/>
                <w:b/>
                <w:bCs/>
                <w:sz w:val="20"/>
                <w:szCs w:val="20"/>
              </w:rPr>
              <w:t>CLASIFICACIÓN UNSPSC</w:t>
            </w:r>
          </w:p>
        </w:tc>
        <w:tc>
          <w:tcPr>
            <w:tcW w:w="2268" w:type="dxa"/>
            <w:shd w:val="clear" w:color="auto" w:fill="D9D9D9" w:themeFill="background1" w:themeFillShade="D9"/>
            <w:tcMar>
              <w:top w:w="0" w:type="dxa"/>
              <w:left w:w="70" w:type="dxa"/>
              <w:bottom w:w="0" w:type="dxa"/>
              <w:right w:w="70" w:type="dxa"/>
            </w:tcMar>
            <w:vAlign w:val="center"/>
            <w:hideMark/>
          </w:tcPr>
          <w:p w14:paraId="66AE1EBA" w14:textId="77777777" w:rsidR="004051D4" w:rsidRPr="00AE3B29" w:rsidRDefault="004051D4" w:rsidP="005924F0">
            <w:pPr>
              <w:autoSpaceDE w:val="0"/>
              <w:jc w:val="center"/>
              <w:rPr>
                <w:rFonts w:ascii="Garamond" w:hAnsi="Garamond" w:cs="Arial"/>
                <w:b/>
                <w:bCs/>
                <w:sz w:val="20"/>
                <w:szCs w:val="20"/>
              </w:rPr>
            </w:pPr>
            <w:r w:rsidRPr="00AE3B29">
              <w:rPr>
                <w:rFonts w:ascii="Garamond" w:hAnsi="Garamond" w:cs="Arial"/>
                <w:b/>
                <w:bCs/>
                <w:sz w:val="20"/>
                <w:szCs w:val="20"/>
              </w:rPr>
              <w:t>SEGMENTO</w:t>
            </w:r>
          </w:p>
        </w:tc>
        <w:tc>
          <w:tcPr>
            <w:tcW w:w="1843" w:type="dxa"/>
            <w:shd w:val="clear" w:color="auto" w:fill="D9D9D9" w:themeFill="background1" w:themeFillShade="D9"/>
            <w:tcMar>
              <w:top w:w="0" w:type="dxa"/>
              <w:left w:w="70" w:type="dxa"/>
              <w:bottom w:w="0" w:type="dxa"/>
              <w:right w:w="70" w:type="dxa"/>
            </w:tcMar>
            <w:vAlign w:val="center"/>
            <w:hideMark/>
          </w:tcPr>
          <w:p w14:paraId="40DDAF85" w14:textId="77777777" w:rsidR="004051D4" w:rsidRPr="00AE3B29" w:rsidRDefault="004051D4" w:rsidP="005924F0">
            <w:pPr>
              <w:autoSpaceDE w:val="0"/>
              <w:jc w:val="center"/>
              <w:rPr>
                <w:rFonts w:ascii="Garamond" w:hAnsi="Garamond" w:cs="Arial"/>
                <w:b/>
                <w:bCs/>
                <w:sz w:val="20"/>
                <w:szCs w:val="20"/>
              </w:rPr>
            </w:pPr>
            <w:r w:rsidRPr="00AE3B29">
              <w:rPr>
                <w:rFonts w:ascii="Garamond" w:hAnsi="Garamond" w:cs="Arial"/>
                <w:b/>
                <w:bCs/>
                <w:sz w:val="20"/>
                <w:szCs w:val="20"/>
              </w:rPr>
              <w:t>FAMILIA</w:t>
            </w:r>
          </w:p>
        </w:tc>
        <w:tc>
          <w:tcPr>
            <w:tcW w:w="1276" w:type="dxa"/>
            <w:shd w:val="clear" w:color="auto" w:fill="D9D9D9" w:themeFill="background1" w:themeFillShade="D9"/>
            <w:tcMar>
              <w:top w:w="0" w:type="dxa"/>
              <w:left w:w="70" w:type="dxa"/>
              <w:bottom w:w="0" w:type="dxa"/>
              <w:right w:w="70" w:type="dxa"/>
            </w:tcMar>
            <w:vAlign w:val="center"/>
            <w:hideMark/>
          </w:tcPr>
          <w:p w14:paraId="13A35504" w14:textId="77777777" w:rsidR="004051D4" w:rsidRPr="00AE3B29" w:rsidRDefault="004051D4" w:rsidP="005924F0">
            <w:pPr>
              <w:autoSpaceDE w:val="0"/>
              <w:jc w:val="center"/>
              <w:rPr>
                <w:rFonts w:ascii="Garamond" w:hAnsi="Garamond" w:cs="Arial"/>
                <w:b/>
                <w:bCs/>
                <w:sz w:val="20"/>
                <w:szCs w:val="20"/>
              </w:rPr>
            </w:pPr>
            <w:r w:rsidRPr="00AE3B29">
              <w:rPr>
                <w:rFonts w:ascii="Garamond" w:hAnsi="Garamond" w:cs="Arial"/>
                <w:b/>
                <w:bCs/>
                <w:sz w:val="20"/>
                <w:szCs w:val="20"/>
              </w:rPr>
              <w:t>CLASE</w:t>
            </w:r>
          </w:p>
        </w:tc>
        <w:tc>
          <w:tcPr>
            <w:tcW w:w="1559" w:type="dxa"/>
            <w:shd w:val="clear" w:color="auto" w:fill="D9D9D9" w:themeFill="background1" w:themeFillShade="D9"/>
            <w:vAlign w:val="center"/>
          </w:tcPr>
          <w:p w14:paraId="7C0129CE" w14:textId="77777777" w:rsidR="004051D4" w:rsidRPr="00AE3B29" w:rsidRDefault="004051D4" w:rsidP="005924F0">
            <w:pPr>
              <w:autoSpaceDE w:val="0"/>
              <w:jc w:val="center"/>
              <w:rPr>
                <w:rFonts w:ascii="Garamond" w:hAnsi="Garamond" w:cs="Arial"/>
                <w:b/>
                <w:bCs/>
                <w:sz w:val="20"/>
                <w:szCs w:val="20"/>
              </w:rPr>
            </w:pPr>
            <w:r w:rsidRPr="00AE3B29">
              <w:rPr>
                <w:rFonts w:ascii="Garamond" w:hAnsi="Garamond" w:cs="Arial"/>
                <w:b/>
                <w:bCs/>
                <w:sz w:val="20"/>
                <w:szCs w:val="20"/>
              </w:rPr>
              <w:t>PRODUCTO</w:t>
            </w:r>
          </w:p>
        </w:tc>
      </w:tr>
      <w:tr w:rsidR="004051D4" w:rsidRPr="00D94A39" w14:paraId="75B32894" w14:textId="77777777" w:rsidTr="00B70AA0">
        <w:trPr>
          <w:trHeight w:val="85"/>
          <w:jc w:val="center"/>
        </w:trPr>
        <w:tc>
          <w:tcPr>
            <w:tcW w:w="1838" w:type="dxa"/>
            <w:shd w:val="clear" w:color="auto" w:fill="auto"/>
            <w:tcMar>
              <w:top w:w="0" w:type="dxa"/>
              <w:left w:w="70" w:type="dxa"/>
              <w:bottom w:w="0" w:type="dxa"/>
              <w:right w:w="70" w:type="dxa"/>
            </w:tcMar>
            <w:vAlign w:val="center"/>
          </w:tcPr>
          <w:p w14:paraId="4B1B92D4" w14:textId="77777777" w:rsidR="004051D4" w:rsidRPr="00AE3B29" w:rsidRDefault="004051D4" w:rsidP="005924F0">
            <w:pPr>
              <w:autoSpaceDE w:val="0"/>
              <w:jc w:val="center"/>
              <w:rPr>
                <w:rFonts w:ascii="Garamond" w:hAnsi="Garamond" w:cs="Arial"/>
                <w:bCs/>
              </w:rPr>
            </w:pPr>
            <w:r w:rsidRPr="00AE3B29">
              <w:rPr>
                <w:rFonts w:ascii="Garamond" w:hAnsi="Garamond" w:cs="Arial"/>
                <w:bCs/>
              </w:rPr>
              <w:t>43211507</w:t>
            </w:r>
          </w:p>
          <w:p w14:paraId="7BDCB5F7" w14:textId="77777777" w:rsidR="004051D4" w:rsidRPr="00AE3B29" w:rsidRDefault="004051D4" w:rsidP="005924F0">
            <w:pPr>
              <w:autoSpaceDE w:val="0"/>
              <w:jc w:val="center"/>
              <w:rPr>
                <w:rFonts w:ascii="Garamond" w:hAnsi="Garamond" w:cs="Arial"/>
                <w:bCs/>
              </w:rPr>
            </w:pPr>
          </w:p>
        </w:tc>
        <w:tc>
          <w:tcPr>
            <w:tcW w:w="2268" w:type="dxa"/>
            <w:shd w:val="clear" w:color="auto" w:fill="auto"/>
            <w:tcMar>
              <w:top w:w="0" w:type="dxa"/>
              <w:left w:w="70" w:type="dxa"/>
              <w:bottom w:w="0" w:type="dxa"/>
              <w:right w:w="70" w:type="dxa"/>
            </w:tcMar>
            <w:vAlign w:val="center"/>
          </w:tcPr>
          <w:p w14:paraId="5D3DB499" w14:textId="77777777" w:rsidR="004051D4" w:rsidRPr="00AE3B29" w:rsidRDefault="004051D4" w:rsidP="005924F0">
            <w:pPr>
              <w:autoSpaceDE w:val="0"/>
              <w:jc w:val="both"/>
              <w:rPr>
                <w:rFonts w:ascii="Garamond" w:hAnsi="Garamond" w:cs="Arial"/>
                <w:bCs/>
              </w:rPr>
            </w:pPr>
            <w:r w:rsidRPr="00AE3B29">
              <w:rPr>
                <w:rFonts w:ascii="Garamond" w:hAnsi="Garamond" w:cs="Arial"/>
                <w:bCs/>
              </w:rPr>
              <w:t>Difusión de tecnologías de información y Telecomunicaciones</w:t>
            </w:r>
          </w:p>
        </w:tc>
        <w:tc>
          <w:tcPr>
            <w:tcW w:w="1843" w:type="dxa"/>
            <w:shd w:val="clear" w:color="auto" w:fill="auto"/>
            <w:tcMar>
              <w:top w:w="0" w:type="dxa"/>
              <w:left w:w="70" w:type="dxa"/>
              <w:bottom w:w="0" w:type="dxa"/>
              <w:right w:w="70" w:type="dxa"/>
            </w:tcMar>
            <w:vAlign w:val="center"/>
          </w:tcPr>
          <w:p w14:paraId="234632C4" w14:textId="77777777" w:rsidR="004051D4" w:rsidRPr="00AE3B29" w:rsidRDefault="004051D4" w:rsidP="005924F0">
            <w:pPr>
              <w:autoSpaceDE w:val="0"/>
              <w:jc w:val="both"/>
              <w:rPr>
                <w:rFonts w:ascii="Garamond" w:hAnsi="Garamond" w:cs="Arial"/>
                <w:bCs/>
              </w:rPr>
            </w:pPr>
            <w:r w:rsidRPr="00AE3B29">
              <w:rPr>
                <w:rFonts w:ascii="Garamond" w:hAnsi="Garamond" w:cs="Arial"/>
                <w:bCs/>
              </w:rPr>
              <w:t>Equipo informático y accesorios s</w:t>
            </w:r>
          </w:p>
        </w:tc>
        <w:tc>
          <w:tcPr>
            <w:tcW w:w="1276" w:type="dxa"/>
            <w:shd w:val="clear" w:color="auto" w:fill="auto"/>
            <w:tcMar>
              <w:top w:w="0" w:type="dxa"/>
              <w:left w:w="70" w:type="dxa"/>
              <w:bottom w:w="0" w:type="dxa"/>
              <w:right w:w="70" w:type="dxa"/>
            </w:tcMar>
            <w:vAlign w:val="center"/>
          </w:tcPr>
          <w:p w14:paraId="5716533B" w14:textId="77777777" w:rsidR="004051D4" w:rsidRPr="00AE3B29" w:rsidRDefault="004051D4" w:rsidP="005924F0">
            <w:pPr>
              <w:autoSpaceDE w:val="0"/>
              <w:jc w:val="both"/>
              <w:rPr>
                <w:rFonts w:ascii="Garamond" w:hAnsi="Garamond" w:cs="Arial"/>
                <w:bCs/>
              </w:rPr>
            </w:pPr>
            <w:r w:rsidRPr="00AE3B29">
              <w:rPr>
                <w:rFonts w:ascii="Garamond" w:hAnsi="Garamond" w:cs="Arial"/>
                <w:bCs/>
              </w:rPr>
              <w:t xml:space="preserve">Computadores </w:t>
            </w:r>
          </w:p>
        </w:tc>
        <w:tc>
          <w:tcPr>
            <w:tcW w:w="1559" w:type="dxa"/>
            <w:shd w:val="clear" w:color="auto" w:fill="auto"/>
            <w:vAlign w:val="center"/>
          </w:tcPr>
          <w:p w14:paraId="0E83E9F6" w14:textId="77777777" w:rsidR="004051D4" w:rsidRPr="00AE3B29" w:rsidRDefault="004051D4" w:rsidP="005924F0">
            <w:pPr>
              <w:autoSpaceDE w:val="0"/>
              <w:jc w:val="both"/>
              <w:rPr>
                <w:rFonts w:ascii="Garamond" w:hAnsi="Garamond" w:cs="Arial"/>
                <w:bCs/>
              </w:rPr>
            </w:pPr>
            <w:r w:rsidRPr="00AE3B29">
              <w:rPr>
                <w:rFonts w:ascii="Garamond" w:hAnsi="Garamond" w:cs="Arial"/>
                <w:bCs/>
              </w:rPr>
              <w:t>Computadores de escritorio</w:t>
            </w:r>
          </w:p>
        </w:tc>
      </w:tr>
      <w:tr w:rsidR="004051D4" w:rsidRPr="00D94A39" w14:paraId="4FDF1692" w14:textId="77777777" w:rsidTr="00B70AA0">
        <w:trPr>
          <w:trHeight w:val="85"/>
          <w:jc w:val="center"/>
        </w:trPr>
        <w:tc>
          <w:tcPr>
            <w:tcW w:w="1838" w:type="dxa"/>
            <w:shd w:val="clear" w:color="auto" w:fill="FFFFFF" w:themeFill="background1"/>
            <w:tcMar>
              <w:top w:w="0" w:type="dxa"/>
              <w:left w:w="70" w:type="dxa"/>
              <w:bottom w:w="0" w:type="dxa"/>
              <w:right w:w="70" w:type="dxa"/>
            </w:tcMar>
            <w:vAlign w:val="center"/>
          </w:tcPr>
          <w:p w14:paraId="7528A807" w14:textId="77777777" w:rsidR="004051D4" w:rsidRPr="00C329E8" w:rsidRDefault="004051D4" w:rsidP="005924F0">
            <w:pPr>
              <w:autoSpaceDE w:val="0"/>
              <w:jc w:val="center"/>
              <w:rPr>
                <w:rFonts w:ascii="Garamond" w:hAnsi="Garamond" w:cs="Arial"/>
              </w:rPr>
            </w:pPr>
            <w:r w:rsidRPr="00C329E8">
              <w:rPr>
                <w:rFonts w:ascii="Garamond" w:hAnsi="Garamond" w:cs="Arial"/>
                <w:bCs/>
              </w:rPr>
              <w:t>43211503</w:t>
            </w:r>
          </w:p>
        </w:tc>
        <w:tc>
          <w:tcPr>
            <w:tcW w:w="2268" w:type="dxa"/>
            <w:shd w:val="clear" w:color="auto" w:fill="FFFFFF" w:themeFill="background1"/>
            <w:tcMar>
              <w:top w:w="0" w:type="dxa"/>
              <w:left w:w="70" w:type="dxa"/>
              <w:bottom w:w="0" w:type="dxa"/>
              <w:right w:w="70" w:type="dxa"/>
            </w:tcMar>
            <w:vAlign w:val="center"/>
          </w:tcPr>
          <w:p w14:paraId="33C314E5" w14:textId="77777777" w:rsidR="004051D4" w:rsidRPr="00AE3B29" w:rsidRDefault="004051D4" w:rsidP="005924F0">
            <w:pPr>
              <w:autoSpaceDE w:val="0"/>
              <w:jc w:val="both"/>
              <w:rPr>
                <w:rFonts w:ascii="Garamond" w:hAnsi="Garamond" w:cs="Arial"/>
              </w:rPr>
            </w:pPr>
            <w:r w:rsidRPr="00AE3B29">
              <w:rPr>
                <w:rFonts w:ascii="Garamond" w:hAnsi="Garamond" w:cs="Arial"/>
                <w:bCs/>
              </w:rPr>
              <w:t>Difusión de tecnologías de información y Telecomunicaciones</w:t>
            </w:r>
          </w:p>
        </w:tc>
        <w:tc>
          <w:tcPr>
            <w:tcW w:w="1843" w:type="dxa"/>
            <w:shd w:val="clear" w:color="auto" w:fill="FFFFFF" w:themeFill="background1"/>
            <w:tcMar>
              <w:top w:w="0" w:type="dxa"/>
              <w:left w:w="70" w:type="dxa"/>
              <w:bottom w:w="0" w:type="dxa"/>
              <w:right w:w="70" w:type="dxa"/>
            </w:tcMar>
            <w:vAlign w:val="center"/>
          </w:tcPr>
          <w:p w14:paraId="5E0574E0" w14:textId="77777777" w:rsidR="004051D4" w:rsidRPr="00AE3B29" w:rsidRDefault="004051D4" w:rsidP="005924F0">
            <w:pPr>
              <w:autoSpaceDE w:val="0"/>
              <w:jc w:val="both"/>
              <w:rPr>
                <w:rFonts w:ascii="Garamond" w:hAnsi="Garamond" w:cs="Arial"/>
              </w:rPr>
            </w:pPr>
            <w:r w:rsidRPr="00AE3B29">
              <w:rPr>
                <w:rFonts w:ascii="Garamond" w:hAnsi="Garamond" w:cs="Arial"/>
                <w:bCs/>
              </w:rPr>
              <w:t>Equipo informático y accesorios</w:t>
            </w:r>
          </w:p>
        </w:tc>
        <w:tc>
          <w:tcPr>
            <w:tcW w:w="1276" w:type="dxa"/>
            <w:shd w:val="clear" w:color="auto" w:fill="FFFFFF" w:themeFill="background1"/>
            <w:tcMar>
              <w:top w:w="0" w:type="dxa"/>
              <w:left w:w="70" w:type="dxa"/>
              <w:bottom w:w="0" w:type="dxa"/>
              <w:right w:w="70" w:type="dxa"/>
            </w:tcMar>
            <w:vAlign w:val="center"/>
          </w:tcPr>
          <w:p w14:paraId="12618D7E" w14:textId="77777777" w:rsidR="004051D4" w:rsidRPr="00AE3B29" w:rsidRDefault="004051D4" w:rsidP="005924F0">
            <w:pPr>
              <w:autoSpaceDE w:val="0"/>
              <w:jc w:val="both"/>
              <w:rPr>
                <w:rFonts w:ascii="Garamond" w:hAnsi="Garamond" w:cs="Arial"/>
              </w:rPr>
            </w:pPr>
            <w:r w:rsidRPr="00AE3B29">
              <w:rPr>
                <w:rFonts w:ascii="Garamond" w:hAnsi="Garamond" w:cs="Arial"/>
                <w:bCs/>
              </w:rPr>
              <w:t xml:space="preserve">Computadores </w:t>
            </w:r>
          </w:p>
        </w:tc>
        <w:tc>
          <w:tcPr>
            <w:tcW w:w="1559" w:type="dxa"/>
            <w:shd w:val="clear" w:color="auto" w:fill="FFFFFF" w:themeFill="background1"/>
            <w:vAlign w:val="center"/>
          </w:tcPr>
          <w:p w14:paraId="437DE5A0" w14:textId="77777777" w:rsidR="004051D4" w:rsidRPr="00AE3B29" w:rsidRDefault="004051D4" w:rsidP="005924F0">
            <w:pPr>
              <w:autoSpaceDE w:val="0"/>
              <w:jc w:val="both"/>
              <w:rPr>
                <w:rFonts w:ascii="Garamond" w:hAnsi="Garamond" w:cs="Arial"/>
              </w:rPr>
            </w:pPr>
            <w:r w:rsidRPr="00AE3B29">
              <w:rPr>
                <w:rFonts w:ascii="Garamond" w:hAnsi="Garamond" w:cs="Arial"/>
              </w:rPr>
              <w:t>Computadores Notebook</w:t>
            </w:r>
          </w:p>
        </w:tc>
      </w:tr>
      <w:tr w:rsidR="004051D4" w:rsidRPr="00D94A39" w14:paraId="7F49028D" w14:textId="77777777" w:rsidTr="00B70AA0">
        <w:trPr>
          <w:trHeight w:val="85"/>
          <w:jc w:val="center"/>
        </w:trPr>
        <w:tc>
          <w:tcPr>
            <w:tcW w:w="1838" w:type="dxa"/>
            <w:shd w:val="clear" w:color="auto" w:fill="FFFFFF" w:themeFill="background1"/>
            <w:tcMar>
              <w:top w:w="0" w:type="dxa"/>
              <w:left w:w="70" w:type="dxa"/>
              <w:bottom w:w="0" w:type="dxa"/>
              <w:right w:w="70" w:type="dxa"/>
            </w:tcMar>
            <w:vAlign w:val="center"/>
          </w:tcPr>
          <w:p w14:paraId="3C71CB03" w14:textId="77777777" w:rsidR="004051D4" w:rsidRPr="00C329E8" w:rsidRDefault="004051D4" w:rsidP="005924F0">
            <w:pPr>
              <w:autoSpaceDE w:val="0"/>
              <w:jc w:val="center"/>
              <w:rPr>
                <w:rFonts w:ascii="Garamond" w:hAnsi="Garamond" w:cs="Arial"/>
              </w:rPr>
            </w:pPr>
            <w:r w:rsidRPr="00C329E8">
              <w:rPr>
                <w:rFonts w:ascii="Garamond" w:hAnsi="Garamond" w:cs="Arial"/>
              </w:rPr>
              <w:t>45111616</w:t>
            </w:r>
          </w:p>
        </w:tc>
        <w:tc>
          <w:tcPr>
            <w:tcW w:w="2268" w:type="dxa"/>
            <w:shd w:val="clear" w:color="auto" w:fill="FFFFFF" w:themeFill="background1"/>
            <w:tcMar>
              <w:top w:w="0" w:type="dxa"/>
              <w:left w:w="70" w:type="dxa"/>
              <w:bottom w:w="0" w:type="dxa"/>
              <w:right w:w="70" w:type="dxa"/>
            </w:tcMar>
            <w:vAlign w:val="center"/>
          </w:tcPr>
          <w:p w14:paraId="7486021C" w14:textId="77777777" w:rsidR="004051D4" w:rsidRPr="00AE3B29" w:rsidRDefault="004051D4" w:rsidP="005924F0">
            <w:pPr>
              <w:autoSpaceDE w:val="0"/>
              <w:jc w:val="both"/>
              <w:rPr>
                <w:rFonts w:ascii="Garamond" w:hAnsi="Garamond" w:cs="Arial"/>
              </w:rPr>
            </w:pPr>
            <w:r w:rsidRPr="00AE3B29">
              <w:rPr>
                <w:rFonts w:ascii="Garamond" w:hAnsi="Garamond" w:cs="Arial"/>
              </w:rPr>
              <w:t xml:space="preserve">Equipos y suministros para impresión, fotografía y audiovisuales </w:t>
            </w:r>
          </w:p>
        </w:tc>
        <w:tc>
          <w:tcPr>
            <w:tcW w:w="1843" w:type="dxa"/>
            <w:shd w:val="clear" w:color="auto" w:fill="FFFFFF" w:themeFill="background1"/>
            <w:tcMar>
              <w:top w:w="0" w:type="dxa"/>
              <w:left w:w="70" w:type="dxa"/>
              <w:bottom w:w="0" w:type="dxa"/>
              <w:right w:w="70" w:type="dxa"/>
            </w:tcMar>
            <w:vAlign w:val="center"/>
          </w:tcPr>
          <w:p w14:paraId="540BEC13" w14:textId="77777777" w:rsidR="004051D4" w:rsidRPr="00AE3B29" w:rsidRDefault="004051D4" w:rsidP="005924F0">
            <w:pPr>
              <w:autoSpaceDE w:val="0"/>
              <w:jc w:val="both"/>
              <w:rPr>
                <w:rFonts w:ascii="Garamond" w:hAnsi="Garamond" w:cs="Arial"/>
              </w:rPr>
            </w:pPr>
            <w:r w:rsidRPr="00AE3B29">
              <w:rPr>
                <w:rFonts w:ascii="Garamond" w:hAnsi="Garamond" w:cs="Arial"/>
              </w:rPr>
              <w:t>Equipos de audio y video para presentación y composición</w:t>
            </w:r>
          </w:p>
        </w:tc>
        <w:tc>
          <w:tcPr>
            <w:tcW w:w="1276" w:type="dxa"/>
            <w:shd w:val="clear" w:color="auto" w:fill="FFFFFF" w:themeFill="background1"/>
            <w:tcMar>
              <w:top w:w="0" w:type="dxa"/>
              <w:left w:w="70" w:type="dxa"/>
              <w:bottom w:w="0" w:type="dxa"/>
              <w:right w:w="70" w:type="dxa"/>
            </w:tcMar>
            <w:vAlign w:val="center"/>
          </w:tcPr>
          <w:p w14:paraId="686C7123" w14:textId="77777777" w:rsidR="004051D4" w:rsidRPr="00AE3B29" w:rsidRDefault="004051D4" w:rsidP="005924F0">
            <w:pPr>
              <w:autoSpaceDE w:val="0"/>
              <w:jc w:val="both"/>
              <w:rPr>
                <w:rFonts w:ascii="Garamond" w:hAnsi="Garamond" w:cs="Arial"/>
              </w:rPr>
            </w:pPr>
            <w:r w:rsidRPr="00AE3B29">
              <w:rPr>
                <w:rFonts w:ascii="Garamond" w:hAnsi="Garamond" w:cs="Arial"/>
              </w:rPr>
              <w:t>Proyectores y suministros</w:t>
            </w:r>
          </w:p>
        </w:tc>
        <w:tc>
          <w:tcPr>
            <w:tcW w:w="1559" w:type="dxa"/>
            <w:shd w:val="clear" w:color="auto" w:fill="FFFFFF" w:themeFill="background1"/>
            <w:vAlign w:val="center"/>
          </w:tcPr>
          <w:p w14:paraId="233D3C8F" w14:textId="77777777" w:rsidR="004051D4" w:rsidRPr="00AE3B29" w:rsidRDefault="004051D4" w:rsidP="005924F0">
            <w:pPr>
              <w:autoSpaceDE w:val="0"/>
              <w:jc w:val="both"/>
              <w:rPr>
                <w:rFonts w:ascii="Garamond" w:hAnsi="Garamond" w:cs="Arial"/>
              </w:rPr>
            </w:pPr>
            <w:r w:rsidRPr="00AE3B29">
              <w:rPr>
                <w:rFonts w:ascii="Garamond" w:hAnsi="Garamond" w:cs="Arial"/>
              </w:rPr>
              <w:t>Proyectores de video</w:t>
            </w:r>
          </w:p>
        </w:tc>
      </w:tr>
      <w:tr w:rsidR="004051D4" w:rsidRPr="00D94A39" w14:paraId="25577373" w14:textId="77777777" w:rsidTr="00B70AA0">
        <w:trPr>
          <w:trHeight w:val="278"/>
          <w:jc w:val="center"/>
        </w:trPr>
        <w:tc>
          <w:tcPr>
            <w:tcW w:w="1838" w:type="dxa"/>
            <w:tcMar>
              <w:top w:w="0" w:type="dxa"/>
              <w:left w:w="70" w:type="dxa"/>
              <w:bottom w:w="0" w:type="dxa"/>
              <w:right w:w="70" w:type="dxa"/>
            </w:tcMar>
            <w:vAlign w:val="center"/>
          </w:tcPr>
          <w:p w14:paraId="2EF3DBCD" w14:textId="77777777" w:rsidR="004051D4" w:rsidRPr="00C329E8" w:rsidRDefault="004051D4" w:rsidP="005924F0">
            <w:pPr>
              <w:jc w:val="center"/>
              <w:rPr>
                <w:rFonts w:ascii="Garamond" w:hAnsi="Garamond" w:cs="Arial"/>
              </w:rPr>
            </w:pPr>
            <w:r w:rsidRPr="00C329E8">
              <w:rPr>
                <w:rFonts w:ascii="Garamond" w:hAnsi="Garamond" w:cs="Arial"/>
              </w:rPr>
              <w:t>45111603</w:t>
            </w:r>
          </w:p>
        </w:tc>
        <w:tc>
          <w:tcPr>
            <w:tcW w:w="2268" w:type="dxa"/>
            <w:shd w:val="clear" w:color="auto" w:fill="auto"/>
            <w:tcMar>
              <w:top w:w="0" w:type="dxa"/>
              <w:left w:w="70" w:type="dxa"/>
              <w:bottom w:w="0" w:type="dxa"/>
              <w:right w:w="70" w:type="dxa"/>
            </w:tcMar>
            <w:vAlign w:val="center"/>
          </w:tcPr>
          <w:p w14:paraId="5C44159F"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Equipos y suministros para impresión, fotografía y audiovisuales</w:t>
            </w:r>
          </w:p>
        </w:tc>
        <w:tc>
          <w:tcPr>
            <w:tcW w:w="1843" w:type="dxa"/>
            <w:tcMar>
              <w:top w:w="0" w:type="dxa"/>
              <w:left w:w="70" w:type="dxa"/>
              <w:bottom w:w="0" w:type="dxa"/>
              <w:right w:w="70" w:type="dxa"/>
            </w:tcMar>
            <w:vAlign w:val="center"/>
          </w:tcPr>
          <w:p w14:paraId="3AFE5FE9"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Equipos de audio y video para presentación y composición</w:t>
            </w:r>
          </w:p>
        </w:tc>
        <w:tc>
          <w:tcPr>
            <w:tcW w:w="1276" w:type="dxa"/>
            <w:tcMar>
              <w:top w:w="0" w:type="dxa"/>
              <w:left w:w="70" w:type="dxa"/>
              <w:bottom w:w="0" w:type="dxa"/>
              <w:right w:w="70" w:type="dxa"/>
            </w:tcMar>
            <w:vAlign w:val="center"/>
          </w:tcPr>
          <w:p w14:paraId="4BB23DBE"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Proyectores y suministros</w:t>
            </w:r>
          </w:p>
        </w:tc>
        <w:tc>
          <w:tcPr>
            <w:tcW w:w="1559" w:type="dxa"/>
            <w:vAlign w:val="center"/>
          </w:tcPr>
          <w:p w14:paraId="0FF78289"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 xml:space="preserve">Pantallas o </w:t>
            </w:r>
            <w:proofErr w:type="spellStart"/>
            <w:r w:rsidRPr="00AE3B29">
              <w:rPr>
                <w:rFonts w:ascii="Garamond" w:hAnsi="Garamond" w:cs="Arial"/>
              </w:rPr>
              <w:t>desplegadores</w:t>
            </w:r>
            <w:proofErr w:type="spellEnd"/>
            <w:r w:rsidRPr="00AE3B29">
              <w:rPr>
                <w:rFonts w:ascii="Garamond" w:hAnsi="Garamond" w:cs="Arial"/>
              </w:rPr>
              <w:t xml:space="preserve"> para proyección</w:t>
            </w:r>
          </w:p>
        </w:tc>
      </w:tr>
      <w:tr w:rsidR="004051D4" w:rsidRPr="00D94A39" w14:paraId="7469A7B0" w14:textId="77777777" w:rsidTr="00B70AA0">
        <w:trPr>
          <w:trHeight w:val="290"/>
          <w:jc w:val="center"/>
        </w:trPr>
        <w:tc>
          <w:tcPr>
            <w:tcW w:w="1838" w:type="dxa"/>
            <w:tcMar>
              <w:top w:w="0" w:type="dxa"/>
              <w:left w:w="70" w:type="dxa"/>
              <w:bottom w:w="0" w:type="dxa"/>
              <w:right w:w="70" w:type="dxa"/>
            </w:tcMar>
            <w:vAlign w:val="center"/>
          </w:tcPr>
          <w:p w14:paraId="26F4C6AA" w14:textId="77777777" w:rsidR="004051D4" w:rsidRPr="00C329E8" w:rsidRDefault="004051D4" w:rsidP="005924F0">
            <w:pPr>
              <w:jc w:val="center"/>
              <w:rPr>
                <w:rFonts w:ascii="Garamond" w:hAnsi="Garamond" w:cs="Arial"/>
              </w:rPr>
            </w:pPr>
            <w:r w:rsidRPr="00C329E8">
              <w:rPr>
                <w:rFonts w:ascii="Garamond" w:hAnsi="Garamond" w:cs="Arial"/>
              </w:rPr>
              <w:t>52161512</w:t>
            </w:r>
          </w:p>
        </w:tc>
        <w:tc>
          <w:tcPr>
            <w:tcW w:w="2268" w:type="dxa"/>
            <w:shd w:val="clear" w:color="auto" w:fill="auto"/>
            <w:tcMar>
              <w:top w:w="0" w:type="dxa"/>
              <w:left w:w="70" w:type="dxa"/>
              <w:bottom w:w="0" w:type="dxa"/>
              <w:right w:w="70" w:type="dxa"/>
            </w:tcMar>
            <w:vAlign w:val="center"/>
          </w:tcPr>
          <w:p w14:paraId="177630F7"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Artículos domésticos, suministros y productos electrónicos de consumo</w:t>
            </w:r>
          </w:p>
        </w:tc>
        <w:tc>
          <w:tcPr>
            <w:tcW w:w="1843" w:type="dxa"/>
            <w:tcMar>
              <w:top w:w="0" w:type="dxa"/>
              <w:left w:w="70" w:type="dxa"/>
              <w:bottom w:w="0" w:type="dxa"/>
              <w:right w:w="70" w:type="dxa"/>
            </w:tcMar>
            <w:vAlign w:val="center"/>
          </w:tcPr>
          <w:p w14:paraId="2C4138F7" w14:textId="77777777" w:rsidR="004051D4" w:rsidRPr="00AE3B29" w:rsidRDefault="004051D4" w:rsidP="00B70AA0">
            <w:pPr>
              <w:spacing w:line="0" w:lineRule="atLeast"/>
              <w:rPr>
                <w:rFonts w:ascii="Garamond" w:hAnsi="Garamond" w:cs="Arial"/>
              </w:rPr>
            </w:pPr>
            <w:r w:rsidRPr="00AE3B29">
              <w:rPr>
                <w:rFonts w:ascii="Garamond" w:hAnsi="Garamond" w:cs="Arial"/>
              </w:rPr>
              <w:t>Electrónica de consumo</w:t>
            </w:r>
          </w:p>
        </w:tc>
        <w:tc>
          <w:tcPr>
            <w:tcW w:w="1276" w:type="dxa"/>
            <w:tcMar>
              <w:top w:w="0" w:type="dxa"/>
              <w:left w:w="70" w:type="dxa"/>
              <w:bottom w:w="0" w:type="dxa"/>
              <w:right w:w="70" w:type="dxa"/>
            </w:tcMar>
            <w:vAlign w:val="center"/>
          </w:tcPr>
          <w:p w14:paraId="5D332F46"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Equipos audiovisuales</w:t>
            </w:r>
          </w:p>
        </w:tc>
        <w:tc>
          <w:tcPr>
            <w:tcW w:w="1559" w:type="dxa"/>
            <w:vAlign w:val="center"/>
          </w:tcPr>
          <w:p w14:paraId="0FA97E94"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Altoparlantes (Cabinas)</w:t>
            </w:r>
          </w:p>
        </w:tc>
      </w:tr>
      <w:tr w:rsidR="004051D4" w:rsidRPr="00D94A39" w14:paraId="0FBC1E1A" w14:textId="77777777" w:rsidTr="00B70AA0">
        <w:trPr>
          <w:trHeight w:val="290"/>
          <w:jc w:val="center"/>
        </w:trPr>
        <w:tc>
          <w:tcPr>
            <w:tcW w:w="1838" w:type="dxa"/>
            <w:tcMar>
              <w:top w:w="0" w:type="dxa"/>
              <w:left w:w="70" w:type="dxa"/>
              <w:bottom w:w="0" w:type="dxa"/>
              <w:right w:w="70" w:type="dxa"/>
            </w:tcMar>
            <w:vAlign w:val="center"/>
          </w:tcPr>
          <w:p w14:paraId="1453066C" w14:textId="77777777" w:rsidR="004051D4" w:rsidRPr="00C329E8" w:rsidRDefault="004051D4" w:rsidP="005924F0">
            <w:pPr>
              <w:jc w:val="center"/>
              <w:rPr>
                <w:rFonts w:ascii="Garamond" w:hAnsi="Garamond" w:cs="Arial"/>
              </w:rPr>
            </w:pPr>
            <w:r w:rsidRPr="00C329E8">
              <w:rPr>
                <w:rFonts w:ascii="Garamond" w:hAnsi="Garamond" w:cs="Arial"/>
              </w:rPr>
              <w:t>52161551</w:t>
            </w:r>
          </w:p>
        </w:tc>
        <w:tc>
          <w:tcPr>
            <w:tcW w:w="2268" w:type="dxa"/>
            <w:shd w:val="clear" w:color="auto" w:fill="auto"/>
            <w:tcMar>
              <w:top w:w="0" w:type="dxa"/>
              <w:left w:w="70" w:type="dxa"/>
              <w:bottom w:w="0" w:type="dxa"/>
              <w:right w:w="70" w:type="dxa"/>
            </w:tcMar>
            <w:vAlign w:val="center"/>
          </w:tcPr>
          <w:p w14:paraId="502A1DE6"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Artículos domésticos, suministros y productos electrónicos de consumo</w:t>
            </w:r>
          </w:p>
        </w:tc>
        <w:tc>
          <w:tcPr>
            <w:tcW w:w="1843" w:type="dxa"/>
            <w:tcMar>
              <w:top w:w="0" w:type="dxa"/>
              <w:left w:w="70" w:type="dxa"/>
              <w:bottom w:w="0" w:type="dxa"/>
              <w:right w:w="70" w:type="dxa"/>
            </w:tcMar>
            <w:vAlign w:val="center"/>
          </w:tcPr>
          <w:p w14:paraId="7AC9D106"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Electrónica de consumo</w:t>
            </w:r>
          </w:p>
        </w:tc>
        <w:tc>
          <w:tcPr>
            <w:tcW w:w="1276" w:type="dxa"/>
            <w:tcMar>
              <w:top w:w="0" w:type="dxa"/>
              <w:left w:w="70" w:type="dxa"/>
              <w:bottom w:w="0" w:type="dxa"/>
              <w:right w:w="70" w:type="dxa"/>
            </w:tcMar>
            <w:vAlign w:val="center"/>
          </w:tcPr>
          <w:p w14:paraId="2B64D688"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Equipos audiovisuales</w:t>
            </w:r>
          </w:p>
        </w:tc>
        <w:tc>
          <w:tcPr>
            <w:tcW w:w="1559" w:type="dxa"/>
            <w:vAlign w:val="center"/>
          </w:tcPr>
          <w:p w14:paraId="5686E2EA"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Micrófonos Inalámbricos y sistema de amplificación de instrumentos</w:t>
            </w:r>
          </w:p>
        </w:tc>
      </w:tr>
      <w:tr w:rsidR="004051D4" w:rsidRPr="00D94A39" w14:paraId="702DC57D" w14:textId="77777777" w:rsidTr="00B70AA0">
        <w:trPr>
          <w:trHeight w:val="290"/>
          <w:jc w:val="center"/>
        </w:trPr>
        <w:tc>
          <w:tcPr>
            <w:tcW w:w="1838" w:type="dxa"/>
            <w:tcMar>
              <w:top w:w="0" w:type="dxa"/>
              <w:left w:w="70" w:type="dxa"/>
              <w:bottom w:w="0" w:type="dxa"/>
              <w:right w:w="70" w:type="dxa"/>
            </w:tcMar>
            <w:vAlign w:val="center"/>
          </w:tcPr>
          <w:p w14:paraId="3EDB7EEC" w14:textId="77777777" w:rsidR="004051D4" w:rsidRPr="00C329E8" w:rsidRDefault="004051D4" w:rsidP="005924F0">
            <w:pPr>
              <w:jc w:val="center"/>
              <w:rPr>
                <w:rFonts w:ascii="Garamond" w:hAnsi="Garamond" w:cs="Arial"/>
              </w:rPr>
            </w:pPr>
            <w:r w:rsidRPr="00C329E8">
              <w:rPr>
                <w:rFonts w:ascii="Garamond" w:hAnsi="Garamond" w:cs="Arial"/>
                <w:color w:val="001D35"/>
                <w:shd w:val="clear" w:color="auto" w:fill="FFFFFF"/>
              </w:rPr>
              <w:t>52161500</w:t>
            </w:r>
          </w:p>
        </w:tc>
        <w:tc>
          <w:tcPr>
            <w:tcW w:w="2268" w:type="dxa"/>
            <w:shd w:val="clear" w:color="auto" w:fill="auto"/>
            <w:tcMar>
              <w:top w:w="0" w:type="dxa"/>
              <w:left w:w="70" w:type="dxa"/>
              <w:bottom w:w="0" w:type="dxa"/>
              <w:right w:w="70" w:type="dxa"/>
            </w:tcMar>
            <w:vAlign w:val="center"/>
          </w:tcPr>
          <w:p w14:paraId="05A0F569"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Artículos domésticos, suministros y productos electrónicos de consumo</w:t>
            </w:r>
          </w:p>
        </w:tc>
        <w:tc>
          <w:tcPr>
            <w:tcW w:w="1843" w:type="dxa"/>
            <w:tcMar>
              <w:top w:w="0" w:type="dxa"/>
              <w:left w:w="70" w:type="dxa"/>
              <w:bottom w:w="0" w:type="dxa"/>
              <w:right w:w="70" w:type="dxa"/>
            </w:tcMar>
            <w:vAlign w:val="center"/>
          </w:tcPr>
          <w:p w14:paraId="0AF3702D"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Electrónica de consumo</w:t>
            </w:r>
          </w:p>
        </w:tc>
        <w:tc>
          <w:tcPr>
            <w:tcW w:w="1276" w:type="dxa"/>
            <w:tcMar>
              <w:top w:w="0" w:type="dxa"/>
              <w:left w:w="70" w:type="dxa"/>
              <w:bottom w:w="0" w:type="dxa"/>
              <w:right w:w="70" w:type="dxa"/>
            </w:tcMar>
            <w:vAlign w:val="center"/>
          </w:tcPr>
          <w:p w14:paraId="38231636"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Equipos audiovisuales</w:t>
            </w:r>
          </w:p>
        </w:tc>
        <w:tc>
          <w:tcPr>
            <w:tcW w:w="1559" w:type="dxa"/>
            <w:vAlign w:val="center"/>
          </w:tcPr>
          <w:p w14:paraId="3517E15F"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Equipos audiovisuales (Micrófono alámbrico)</w:t>
            </w:r>
          </w:p>
        </w:tc>
      </w:tr>
      <w:tr w:rsidR="004051D4" w:rsidRPr="00D94A39" w14:paraId="7891ADFF" w14:textId="77777777" w:rsidTr="00B70AA0">
        <w:trPr>
          <w:trHeight w:val="290"/>
          <w:jc w:val="center"/>
        </w:trPr>
        <w:tc>
          <w:tcPr>
            <w:tcW w:w="1838" w:type="dxa"/>
            <w:tcMar>
              <w:top w:w="0" w:type="dxa"/>
              <w:left w:w="70" w:type="dxa"/>
              <w:bottom w:w="0" w:type="dxa"/>
              <w:right w:w="70" w:type="dxa"/>
            </w:tcMar>
            <w:vAlign w:val="center"/>
          </w:tcPr>
          <w:p w14:paraId="26FE2D4B" w14:textId="77777777" w:rsidR="004051D4" w:rsidRPr="00C329E8" w:rsidRDefault="004051D4" w:rsidP="005924F0">
            <w:pPr>
              <w:jc w:val="center"/>
              <w:rPr>
                <w:rFonts w:ascii="Garamond" w:hAnsi="Garamond" w:cs="Arial"/>
              </w:rPr>
            </w:pPr>
            <w:r w:rsidRPr="00C329E8">
              <w:rPr>
                <w:rFonts w:ascii="Garamond" w:hAnsi="Garamond" w:cs="Arial"/>
              </w:rPr>
              <w:t>43212104</w:t>
            </w:r>
          </w:p>
        </w:tc>
        <w:tc>
          <w:tcPr>
            <w:tcW w:w="2268" w:type="dxa"/>
            <w:shd w:val="clear" w:color="auto" w:fill="auto"/>
            <w:tcMar>
              <w:top w:w="0" w:type="dxa"/>
              <w:left w:w="70" w:type="dxa"/>
              <w:bottom w:w="0" w:type="dxa"/>
              <w:right w:w="70" w:type="dxa"/>
            </w:tcMar>
            <w:vAlign w:val="center"/>
          </w:tcPr>
          <w:p w14:paraId="001C6AD8"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Difusión de tecnologías de información y telecomunicaciones</w:t>
            </w:r>
          </w:p>
        </w:tc>
        <w:tc>
          <w:tcPr>
            <w:tcW w:w="1843" w:type="dxa"/>
            <w:tcMar>
              <w:top w:w="0" w:type="dxa"/>
              <w:left w:w="70" w:type="dxa"/>
              <w:bottom w:w="0" w:type="dxa"/>
              <w:right w:w="70" w:type="dxa"/>
            </w:tcMar>
            <w:vAlign w:val="center"/>
          </w:tcPr>
          <w:p w14:paraId="5D3B96B7"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Equipo informático y accesorios</w:t>
            </w:r>
          </w:p>
        </w:tc>
        <w:tc>
          <w:tcPr>
            <w:tcW w:w="1276" w:type="dxa"/>
            <w:tcMar>
              <w:top w:w="0" w:type="dxa"/>
              <w:left w:w="70" w:type="dxa"/>
              <w:bottom w:w="0" w:type="dxa"/>
              <w:right w:w="70" w:type="dxa"/>
            </w:tcMar>
            <w:vAlign w:val="center"/>
          </w:tcPr>
          <w:p w14:paraId="5211D7CD"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Impresoras de computador</w:t>
            </w:r>
          </w:p>
        </w:tc>
        <w:tc>
          <w:tcPr>
            <w:tcW w:w="1559" w:type="dxa"/>
            <w:vAlign w:val="center"/>
          </w:tcPr>
          <w:p w14:paraId="1190BC3A"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Impresora</w:t>
            </w:r>
          </w:p>
        </w:tc>
      </w:tr>
      <w:tr w:rsidR="004051D4" w:rsidRPr="00D94A39" w14:paraId="6D49E581" w14:textId="77777777" w:rsidTr="00B70AA0">
        <w:trPr>
          <w:trHeight w:val="290"/>
          <w:jc w:val="center"/>
        </w:trPr>
        <w:tc>
          <w:tcPr>
            <w:tcW w:w="1838" w:type="dxa"/>
            <w:tcMar>
              <w:top w:w="0" w:type="dxa"/>
              <w:left w:w="70" w:type="dxa"/>
              <w:bottom w:w="0" w:type="dxa"/>
              <w:right w:w="70" w:type="dxa"/>
            </w:tcMar>
            <w:vAlign w:val="center"/>
          </w:tcPr>
          <w:p w14:paraId="07CD00EF" w14:textId="77777777" w:rsidR="004051D4" w:rsidRPr="00C329E8" w:rsidRDefault="004051D4" w:rsidP="005924F0">
            <w:pPr>
              <w:jc w:val="center"/>
              <w:rPr>
                <w:rFonts w:ascii="Garamond" w:hAnsi="Garamond" w:cs="Arial"/>
              </w:rPr>
            </w:pPr>
            <w:r w:rsidRPr="00C329E8">
              <w:rPr>
                <w:rFonts w:ascii="Garamond" w:hAnsi="Garamond" w:cs="Arial"/>
              </w:rPr>
              <w:t>49421503</w:t>
            </w:r>
          </w:p>
          <w:p w14:paraId="5EA97683" w14:textId="77777777" w:rsidR="004051D4" w:rsidRPr="00C329E8" w:rsidRDefault="004051D4" w:rsidP="005924F0">
            <w:pPr>
              <w:jc w:val="center"/>
              <w:rPr>
                <w:rFonts w:ascii="Garamond" w:hAnsi="Garamond" w:cs="Arial"/>
              </w:rPr>
            </w:pPr>
          </w:p>
        </w:tc>
        <w:tc>
          <w:tcPr>
            <w:tcW w:w="2268" w:type="dxa"/>
            <w:shd w:val="clear" w:color="auto" w:fill="auto"/>
            <w:tcMar>
              <w:top w:w="0" w:type="dxa"/>
              <w:left w:w="70" w:type="dxa"/>
              <w:bottom w:w="0" w:type="dxa"/>
              <w:right w:w="70" w:type="dxa"/>
            </w:tcMar>
            <w:vAlign w:val="center"/>
          </w:tcPr>
          <w:p w14:paraId="26346771"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Equipos, suministros y accesorios para deportes y recreación</w:t>
            </w:r>
          </w:p>
        </w:tc>
        <w:tc>
          <w:tcPr>
            <w:tcW w:w="1843" w:type="dxa"/>
            <w:tcMar>
              <w:top w:w="0" w:type="dxa"/>
              <w:left w:w="70" w:type="dxa"/>
              <w:bottom w:w="0" w:type="dxa"/>
              <w:right w:w="70" w:type="dxa"/>
            </w:tcMar>
            <w:vAlign w:val="center"/>
          </w:tcPr>
          <w:p w14:paraId="43712A73"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Equipos y accesorios para acampada y exteriores</w:t>
            </w:r>
          </w:p>
        </w:tc>
        <w:tc>
          <w:tcPr>
            <w:tcW w:w="1276" w:type="dxa"/>
            <w:tcMar>
              <w:top w:w="0" w:type="dxa"/>
              <w:left w:w="70" w:type="dxa"/>
              <w:bottom w:w="0" w:type="dxa"/>
              <w:right w:w="70" w:type="dxa"/>
            </w:tcMar>
            <w:vAlign w:val="center"/>
          </w:tcPr>
          <w:p w14:paraId="677653CB"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Equipos para camping y exteriores</w:t>
            </w:r>
          </w:p>
        </w:tc>
        <w:tc>
          <w:tcPr>
            <w:tcW w:w="1559" w:type="dxa"/>
            <w:vAlign w:val="center"/>
          </w:tcPr>
          <w:p w14:paraId="417980AB"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Carpas</w:t>
            </w:r>
          </w:p>
        </w:tc>
      </w:tr>
      <w:tr w:rsidR="004051D4" w:rsidRPr="00D94A39" w14:paraId="1D723E79" w14:textId="77777777" w:rsidTr="00B70AA0">
        <w:trPr>
          <w:trHeight w:val="70"/>
          <w:jc w:val="center"/>
        </w:trPr>
        <w:tc>
          <w:tcPr>
            <w:tcW w:w="1838" w:type="dxa"/>
            <w:tcMar>
              <w:top w:w="0" w:type="dxa"/>
              <w:left w:w="70" w:type="dxa"/>
              <w:bottom w:w="0" w:type="dxa"/>
              <w:right w:w="70" w:type="dxa"/>
            </w:tcMar>
            <w:vAlign w:val="center"/>
          </w:tcPr>
          <w:p w14:paraId="46F66758" w14:textId="77777777" w:rsidR="004051D4" w:rsidRPr="00C329E8" w:rsidRDefault="004051D4" w:rsidP="005924F0">
            <w:pPr>
              <w:jc w:val="center"/>
              <w:rPr>
                <w:rFonts w:ascii="Garamond" w:hAnsi="Garamond" w:cs="Arial"/>
              </w:rPr>
            </w:pPr>
            <w:r w:rsidRPr="00C329E8">
              <w:rPr>
                <w:rFonts w:ascii="Garamond" w:hAnsi="Garamond" w:cs="Arial"/>
              </w:rPr>
              <w:t>56101519</w:t>
            </w:r>
          </w:p>
        </w:tc>
        <w:tc>
          <w:tcPr>
            <w:tcW w:w="2268" w:type="dxa"/>
            <w:shd w:val="clear" w:color="auto" w:fill="auto"/>
            <w:tcMar>
              <w:top w:w="0" w:type="dxa"/>
              <w:left w:w="70" w:type="dxa"/>
              <w:bottom w:w="0" w:type="dxa"/>
              <w:right w:w="70" w:type="dxa"/>
            </w:tcMar>
            <w:vAlign w:val="center"/>
          </w:tcPr>
          <w:p w14:paraId="75E780F1"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Muebles, mobiliario y decoración</w:t>
            </w:r>
          </w:p>
        </w:tc>
        <w:tc>
          <w:tcPr>
            <w:tcW w:w="1843" w:type="dxa"/>
            <w:tcMar>
              <w:top w:w="0" w:type="dxa"/>
              <w:left w:w="70" w:type="dxa"/>
              <w:bottom w:w="0" w:type="dxa"/>
              <w:right w:w="70" w:type="dxa"/>
            </w:tcMar>
            <w:vAlign w:val="center"/>
          </w:tcPr>
          <w:p w14:paraId="4D4AA5EB"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 xml:space="preserve">Mobiliario institucional, </w:t>
            </w:r>
            <w:r w:rsidRPr="00AE3B29">
              <w:rPr>
                <w:rFonts w:ascii="Garamond" w:hAnsi="Garamond" w:cs="Arial"/>
              </w:rPr>
              <w:lastRenderedPageBreak/>
              <w:t>escolar y educativo, y accesorios</w:t>
            </w:r>
          </w:p>
        </w:tc>
        <w:tc>
          <w:tcPr>
            <w:tcW w:w="1276" w:type="dxa"/>
            <w:tcMar>
              <w:top w:w="0" w:type="dxa"/>
              <w:left w:w="70" w:type="dxa"/>
              <w:bottom w:w="0" w:type="dxa"/>
              <w:right w:w="70" w:type="dxa"/>
            </w:tcMar>
            <w:vAlign w:val="center"/>
          </w:tcPr>
          <w:p w14:paraId="43CC18B0" w14:textId="77777777" w:rsidR="004051D4" w:rsidRPr="00AE3B29" w:rsidRDefault="004051D4" w:rsidP="005924F0">
            <w:pPr>
              <w:spacing w:line="0" w:lineRule="atLeast"/>
              <w:jc w:val="both"/>
              <w:rPr>
                <w:rFonts w:ascii="Garamond" w:hAnsi="Garamond" w:cs="Arial"/>
              </w:rPr>
            </w:pPr>
            <w:r w:rsidRPr="00AE3B29">
              <w:rPr>
                <w:rFonts w:ascii="Garamond" w:hAnsi="Garamond" w:cs="Arial"/>
              </w:rPr>
              <w:lastRenderedPageBreak/>
              <w:t>Muebles</w:t>
            </w:r>
          </w:p>
        </w:tc>
        <w:tc>
          <w:tcPr>
            <w:tcW w:w="1559" w:type="dxa"/>
            <w:vAlign w:val="center"/>
          </w:tcPr>
          <w:p w14:paraId="07DBFC7F"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Mesas</w:t>
            </w:r>
          </w:p>
        </w:tc>
      </w:tr>
      <w:tr w:rsidR="004051D4" w:rsidRPr="00D94A39" w14:paraId="0ED90F47" w14:textId="77777777" w:rsidTr="00B70AA0">
        <w:trPr>
          <w:trHeight w:val="278"/>
          <w:jc w:val="center"/>
        </w:trPr>
        <w:tc>
          <w:tcPr>
            <w:tcW w:w="1838" w:type="dxa"/>
            <w:tcMar>
              <w:top w:w="0" w:type="dxa"/>
              <w:left w:w="70" w:type="dxa"/>
              <w:bottom w:w="0" w:type="dxa"/>
              <w:right w:w="70" w:type="dxa"/>
            </w:tcMar>
            <w:vAlign w:val="center"/>
          </w:tcPr>
          <w:p w14:paraId="42D3737C" w14:textId="77777777" w:rsidR="004051D4" w:rsidRPr="00C329E8" w:rsidRDefault="004051D4" w:rsidP="005924F0">
            <w:pPr>
              <w:jc w:val="center"/>
              <w:rPr>
                <w:rFonts w:ascii="Garamond" w:hAnsi="Garamond" w:cs="Arial"/>
              </w:rPr>
            </w:pPr>
            <w:r w:rsidRPr="00C329E8">
              <w:rPr>
                <w:rFonts w:ascii="Garamond" w:hAnsi="Garamond" w:cs="Arial"/>
              </w:rPr>
              <w:t>56112105</w:t>
            </w:r>
          </w:p>
        </w:tc>
        <w:tc>
          <w:tcPr>
            <w:tcW w:w="2268" w:type="dxa"/>
            <w:shd w:val="clear" w:color="auto" w:fill="auto"/>
            <w:tcMar>
              <w:top w:w="0" w:type="dxa"/>
              <w:left w:w="70" w:type="dxa"/>
              <w:bottom w:w="0" w:type="dxa"/>
              <w:right w:w="70" w:type="dxa"/>
            </w:tcMar>
            <w:vAlign w:val="center"/>
          </w:tcPr>
          <w:p w14:paraId="4502397C"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Muebles, mobiliario y decoración</w:t>
            </w:r>
          </w:p>
        </w:tc>
        <w:tc>
          <w:tcPr>
            <w:tcW w:w="1843" w:type="dxa"/>
            <w:tcMar>
              <w:top w:w="0" w:type="dxa"/>
              <w:left w:w="70" w:type="dxa"/>
              <w:bottom w:w="0" w:type="dxa"/>
              <w:right w:w="70" w:type="dxa"/>
            </w:tcMar>
            <w:vAlign w:val="center"/>
          </w:tcPr>
          <w:p w14:paraId="016410EF"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Muebles comerciales e industriales</w:t>
            </w:r>
          </w:p>
        </w:tc>
        <w:tc>
          <w:tcPr>
            <w:tcW w:w="1276" w:type="dxa"/>
            <w:tcMar>
              <w:top w:w="0" w:type="dxa"/>
              <w:left w:w="70" w:type="dxa"/>
              <w:bottom w:w="0" w:type="dxa"/>
              <w:right w:w="70" w:type="dxa"/>
            </w:tcMar>
            <w:vAlign w:val="center"/>
          </w:tcPr>
          <w:p w14:paraId="76EA4DDA"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Asientos</w:t>
            </w:r>
          </w:p>
        </w:tc>
        <w:tc>
          <w:tcPr>
            <w:tcW w:w="1559" w:type="dxa"/>
            <w:vAlign w:val="center"/>
          </w:tcPr>
          <w:p w14:paraId="15B9AAC5"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Sillas</w:t>
            </w:r>
          </w:p>
        </w:tc>
      </w:tr>
      <w:tr w:rsidR="004051D4" w:rsidRPr="00D94A39" w14:paraId="6F084261" w14:textId="77777777" w:rsidTr="00B70AA0">
        <w:trPr>
          <w:trHeight w:val="278"/>
          <w:jc w:val="center"/>
        </w:trPr>
        <w:tc>
          <w:tcPr>
            <w:tcW w:w="1838" w:type="dxa"/>
            <w:tcMar>
              <w:top w:w="0" w:type="dxa"/>
              <w:left w:w="70" w:type="dxa"/>
              <w:bottom w:w="0" w:type="dxa"/>
              <w:right w:w="70" w:type="dxa"/>
            </w:tcMar>
            <w:vAlign w:val="center"/>
          </w:tcPr>
          <w:p w14:paraId="382BC3C0" w14:textId="77777777" w:rsidR="004051D4" w:rsidRPr="00C329E8" w:rsidRDefault="004051D4" w:rsidP="005924F0">
            <w:pPr>
              <w:jc w:val="center"/>
              <w:rPr>
                <w:rFonts w:ascii="Garamond" w:hAnsi="Garamond" w:cs="Arial"/>
                <w:b/>
                <w:bCs/>
              </w:rPr>
            </w:pPr>
            <w:r w:rsidRPr="00C329E8">
              <w:rPr>
                <w:rStyle w:val="Textoennegrita"/>
                <w:rFonts w:ascii="Garamond" w:hAnsi="Garamond"/>
              </w:rPr>
              <w:t>56101703</w:t>
            </w:r>
          </w:p>
        </w:tc>
        <w:tc>
          <w:tcPr>
            <w:tcW w:w="2268" w:type="dxa"/>
            <w:shd w:val="clear" w:color="auto" w:fill="auto"/>
            <w:tcMar>
              <w:top w:w="0" w:type="dxa"/>
              <w:left w:w="70" w:type="dxa"/>
              <w:bottom w:w="0" w:type="dxa"/>
              <w:right w:w="70" w:type="dxa"/>
            </w:tcMar>
            <w:vAlign w:val="center"/>
          </w:tcPr>
          <w:p w14:paraId="020175FE"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Muebles, mobiliario y decoración</w:t>
            </w:r>
          </w:p>
        </w:tc>
        <w:tc>
          <w:tcPr>
            <w:tcW w:w="1843" w:type="dxa"/>
            <w:tcMar>
              <w:top w:w="0" w:type="dxa"/>
              <w:left w:w="70" w:type="dxa"/>
              <w:bottom w:w="0" w:type="dxa"/>
              <w:right w:w="70" w:type="dxa"/>
            </w:tcMar>
            <w:vAlign w:val="center"/>
          </w:tcPr>
          <w:p w14:paraId="0D185191"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Muebles de alojamiento</w:t>
            </w:r>
          </w:p>
        </w:tc>
        <w:tc>
          <w:tcPr>
            <w:tcW w:w="1276" w:type="dxa"/>
            <w:tcMar>
              <w:top w:w="0" w:type="dxa"/>
              <w:left w:w="70" w:type="dxa"/>
              <w:bottom w:w="0" w:type="dxa"/>
              <w:right w:w="70" w:type="dxa"/>
            </w:tcMar>
            <w:vAlign w:val="center"/>
          </w:tcPr>
          <w:p w14:paraId="78FDD54E"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Muebles de oficina</w:t>
            </w:r>
          </w:p>
        </w:tc>
        <w:tc>
          <w:tcPr>
            <w:tcW w:w="1559" w:type="dxa"/>
            <w:vAlign w:val="center"/>
          </w:tcPr>
          <w:p w14:paraId="3CED19EC" w14:textId="77777777" w:rsidR="004051D4" w:rsidRPr="00AE3B29" w:rsidRDefault="004051D4" w:rsidP="005924F0">
            <w:pPr>
              <w:spacing w:line="0" w:lineRule="atLeast"/>
              <w:jc w:val="both"/>
              <w:rPr>
                <w:rFonts w:ascii="Garamond" w:hAnsi="Garamond" w:cs="Arial"/>
              </w:rPr>
            </w:pPr>
            <w:r w:rsidRPr="00AE3B29">
              <w:rPr>
                <w:rFonts w:ascii="Garamond" w:hAnsi="Garamond" w:cs="Arial"/>
              </w:rPr>
              <w:t>Escritorios</w:t>
            </w:r>
          </w:p>
        </w:tc>
      </w:tr>
    </w:tbl>
    <w:p w14:paraId="2AE786AA" w14:textId="77777777" w:rsidR="004051D4" w:rsidRPr="00BF757C" w:rsidRDefault="004051D4" w:rsidP="004051D4">
      <w:pPr>
        <w:pBdr>
          <w:top w:val="nil"/>
          <w:left w:val="nil"/>
          <w:bottom w:val="nil"/>
          <w:right w:val="nil"/>
          <w:between w:val="nil"/>
        </w:pBdr>
        <w:spacing w:before="1" w:line="235" w:lineRule="auto"/>
        <w:ind w:right="260"/>
        <w:jc w:val="both"/>
        <w:rPr>
          <w:rFonts w:ascii="Garamond" w:eastAsia="Garamond" w:hAnsi="Garamond" w:cs="Garamond"/>
        </w:rPr>
      </w:pPr>
    </w:p>
    <w:p w14:paraId="0F25F251" w14:textId="77777777" w:rsidR="004051D4" w:rsidRDefault="004051D4" w:rsidP="004051D4">
      <w:pPr>
        <w:pBdr>
          <w:top w:val="nil"/>
          <w:left w:val="nil"/>
          <w:bottom w:val="nil"/>
          <w:right w:val="nil"/>
          <w:between w:val="nil"/>
        </w:pBdr>
        <w:spacing w:before="1" w:line="235" w:lineRule="auto"/>
        <w:ind w:right="49"/>
        <w:jc w:val="both"/>
      </w:pPr>
    </w:p>
    <w:p w14:paraId="3DCDB6A3" w14:textId="77777777" w:rsidR="004051D4" w:rsidRPr="001A44B1" w:rsidRDefault="004051D4" w:rsidP="004051D4">
      <w:pPr>
        <w:pBdr>
          <w:top w:val="nil"/>
          <w:left w:val="nil"/>
          <w:bottom w:val="nil"/>
          <w:right w:val="nil"/>
          <w:between w:val="nil"/>
        </w:pBdr>
        <w:spacing w:before="1" w:line="235" w:lineRule="auto"/>
        <w:ind w:right="49"/>
        <w:jc w:val="both"/>
        <w:rPr>
          <w:rFonts w:ascii="Garamond" w:hAnsi="Garamond"/>
        </w:rPr>
      </w:pPr>
      <w:r w:rsidRPr="008B2508">
        <w:rPr>
          <w:rStyle w:val="Textoennegrita"/>
          <w:rFonts w:ascii="Garamond" w:hAnsi="Garamond"/>
        </w:rPr>
        <w:t>El código UNSPSC 43211507 – Computadores de escritorio</w:t>
      </w:r>
      <w:r w:rsidRPr="008B2508">
        <w:rPr>
          <w:rFonts w:ascii="Garamond" w:hAnsi="Garamond"/>
        </w:rPr>
        <w:t xml:space="preserve"> corresponde a la adquisición de equipos de cómputo personales diseñados para su instalación en un lugar fijo, generalmente sobre un escritorio o estación de trabajo. Estos dispositivos incluyen unidad central de procesamiento, monitor, teclado y mouse, y están destinados al uso en labores administrativas, </w:t>
      </w:r>
      <w:r w:rsidRPr="001A44B1">
        <w:rPr>
          <w:rFonts w:ascii="Garamond" w:hAnsi="Garamond"/>
        </w:rPr>
        <w:t xml:space="preserve">formativas, organizativas y comunitarias. Su aplicación es pertinente en procesos de dotación tecnológica a entidades como Juntas de Acción Comunal, ya que permiten fortalecer la capacidad operativa, documental y comunicativa de los equipos de trabajo. </w:t>
      </w:r>
    </w:p>
    <w:p w14:paraId="17E4614F" w14:textId="77777777" w:rsidR="004051D4" w:rsidRPr="001A44B1" w:rsidRDefault="004051D4" w:rsidP="004051D4">
      <w:pPr>
        <w:pBdr>
          <w:top w:val="nil"/>
          <w:left w:val="nil"/>
          <w:bottom w:val="nil"/>
          <w:right w:val="nil"/>
          <w:between w:val="nil"/>
        </w:pBdr>
        <w:spacing w:before="1" w:line="235" w:lineRule="auto"/>
        <w:ind w:right="49"/>
        <w:jc w:val="both"/>
        <w:rPr>
          <w:rFonts w:ascii="Garamond" w:hAnsi="Garamond"/>
        </w:rPr>
      </w:pPr>
    </w:p>
    <w:p w14:paraId="2F75E23A" w14:textId="77777777" w:rsidR="004051D4" w:rsidRPr="001A44B1" w:rsidRDefault="004051D4" w:rsidP="004051D4">
      <w:pPr>
        <w:pBdr>
          <w:top w:val="nil"/>
          <w:left w:val="nil"/>
          <w:bottom w:val="nil"/>
          <w:right w:val="nil"/>
          <w:between w:val="nil"/>
        </w:pBdr>
        <w:spacing w:before="1" w:line="235" w:lineRule="auto"/>
        <w:ind w:right="49"/>
        <w:jc w:val="both"/>
        <w:rPr>
          <w:rFonts w:ascii="Garamond" w:hAnsi="Garamond"/>
        </w:rPr>
      </w:pPr>
      <w:r w:rsidRPr="001A44B1">
        <w:rPr>
          <w:rStyle w:val="Textoennegrita"/>
          <w:rFonts w:ascii="Garamond" w:hAnsi="Garamond"/>
        </w:rPr>
        <w:t xml:space="preserve">El Código UNSPSC </w:t>
      </w:r>
      <w:r w:rsidRPr="001A44B1">
        <w:rPr>
          <w:rFonts w:ascii="Garamond" w:hAnsi="Garamond"/>
          <w:b/>
          <w:bCs/>
        </w:rPr>
        <w:t>43211503</w:t>
      </w:r>
      <w:r w:rsidRPr="001A44B1">
        <w:rPr>
          <w:rStyle w:val="Textoennegrita"/>
          <w:rFonts w:ascii="Garamond" w:hAnsi="Garamond"/>
        </w:rPr>
        <w:t xml:space="preserve"> - </w:t>
      </w:r>
      <w:r w:rsidRPr="001A44B1">
        <w:rPr>
          <w:rFonts w:ascii="Garamond" w:hAnsi="Garamond"/>
          <w:b/>
          <w:bCs/>
        </w:rPr>
        <w:t>Computadoras portátiles</w:t>
      </w:r>
      <w:r w:rsidRPr="001A44B1">
        <w:rPr>
          <w:rFonts w:ascii="Garamond" w:hAnsi="Garamond"/>
        </w:rPr>
        <w:t xml:space="preserve"> (Notebook </w:t>
      </w:r>
      <w:proofErr w:type="spellStart"/>
      <w:r w:rsidRPr="001A44B1">
        <w:rPr>
          <w:rFonts w:ascii="Garamond" w:hAnsi="Garamond"/>
        </w:rPr>
        <w:t>computers</w:t>
      </w:r>
      <w:proofErr w:type="spellEnd"/>
      <w:r w:rsidRPr="001A44B1">
        <w:rPr>
          <w:rFonts w:ascii="Garamond" w:hAnsi="Garamond"/>
        </w:rPr>
        <w:t>)</w:t>
      </w:r>
      <w:r w:rsidRPr="001A44B1">
        <w:rPr>
          <w:rFonts w:ascii="Garamond" w:hAnsi="Garamond"/>
        </w:rPr>
        <w:br/>
        <w:t>Equipos de cómputo personales portátiles, diseñados para su fácil transporte y operación autónoma mediante batería recargable, que integran en un solo dispositivo el monitor, teclado, sistema de procesamiento y almacenamiento de datos. Están destinados para actividades de gestión, comunicación, capacitación, registro de información y apoyo logístico-administrativo de las Juntas de Acción Comunal, facilitando la ejecución de proyectos comunitarios, el fortalecimiento de capacidades operativas y la articulación con entidades institucionales.</w:t>
      </w:r>
    </w:p>
    <w:p w14:paraId="58748C55" w14:textId="77777777" w:rsidR="004051D4" w:rsidRPr="008B2508" w:rsidRDefault="004051D4" w:rsidP="004051D4">
      <w:pPr>
        <w:pBdr>
          <w:top w:val="nil"/>
          <w:left w:val="nil"/>
          <w:bottom w:val="nil"/>
          <w:right w:val="nil"/>
          <w:between w:val="nil"/>
        </w:pBdr>
        <w:spacing w:before="1" w:line="235" w:lineRule="auto"/>
        <w:ind w:right="260"/>
        <w:jc w:val="both"/>
        <w:rPr>
          <w:rFonts w:ascii="Garamond" w:hAnsi="Garamond"/>
        </w:rPr>
      </w:pPr>
    </w:p>
    <w:p w14:paraId="0A387ABD" w14:textId="77777777" w:rsidR="004051D4" w:rsidRPr="008B2508" w:rsidRDefault="004051D4" w:rsidP="004051D4">
      <w:pPr>
        <w:pBdr>
          <w:top w:val="nil"/>
          <w:left w:val="nil"/>
          <w:bottom w:val="nil"/>
          <w:right w:val="nil"/>
          <w:between w:val="nil"/>
        </w:pBdr>
        <w:tabs>
          <w:tab w:val="left" w:pos="8505"/>
        </w:tabs>
        <w:spacing w:before="1" w:line="235" w:lineRule="auto"/>
        <w:ind w:right="49"/>
        <w:jc w:val="both"/>
        <w:rPr>
          <w:rFonts w:ascii="Garamond" w:hAnsi="Garamond"/>
        </w:rPr>
      </w:pPr>
      <w:r w:rsidRPr="008B2508">
        <w:rPr>
          <w:rStyle w:val="Textoennegrita"/>
          <w:rFonts w:ascii="Garamond" w:hAnsi="Garamond"/>
        </w:rPr>
        <w:t>El código UNSPSC 45111616 – Videoproyectores</w:t>
      </w:r>
      <w:r w:rsidRPr="008B2508">
        <w:rPr>
          <w:rFonts w:ascii="Garamond" w:hAnsi="Garamond"/>
        </w:rPr>
        <w:t xml:space="preserve"> corresponde a la adquisición de equipos electrónicos diseñados para proyectar imágenes y videos desde una fuente digital hacia una superficie o pantalla, permitiendo la visualización ampliada de contenidos en entornos colectivos. Este tipo de equipos es utilizado comúnmente en actividades pedagógicas, presentaciones institucionales, capacitaciones, eventos culturales y reuniones comunitarias. En el marco de la dotación a Juntas de Acción Comunal, los videoproyectores facilitan la dinamización de espacios de formación, la divulgación de información y la promoción de contenidos audiovisuales, fortaleciendo los procesos organizativos y participativos. Están conformados generalmente por tecnología de proyección (LCD, DLP u otros), entradas de video y audio, control remoto y sistemas de ajuste de imagen, garantizando funcionalidad, portabilidad y facilidad de uso en diferentes entornos físicos.</w:t>
      </w:r>
    </w:p>
    <w:p w14:paraId="33C960AE" w14:textId="77777777" w:rsidR="004051D4" w:rsidRPr="008B2508" w:rsidRDefault="004051D4" w:rsidP="004051D4">
      <w:pPr>
        <w:pBdr>
          <w:top w:val="nil"/>
          <w:left w:val="nil"/>
          <w:bottom w:val="nil"/>
          <w:right w:val="nil"/>
          <w:between w:val="nil"/>
        </w:pBdr>
        <w:spacing w:before="1" w:line="235" w:lineRule="auto"/>
        <w:ind w:right="260"/>
        <w:jc w:val="both"/>
        <w:rPr>
          <w:rFonts w:ascii="Garamond" w:hAnsi="Garamond"/>
        </w:rPr>
      </w:pPr>
    </w:p>
    <w:p w14:paraId="4F8EB9A5" w14:textId="77777777" w:rsidR="004051D4" w:rsidRPr="008B2508" w:rsidRDefault="004051D4" w:rsidP="004051D4">
      <w:pPr>
        <w:pBdr>
          <w:top w:val="nil"/>
          <w:left w:val="nil"/>
          <w:bottom w:val="nil"/>
          <w:right w:val="nil"/>
          <w:between w:val="nil"/>
        </w:pBdr>
        <w:spacing w:before="1" w:line="235" w:lineRule="auto"/>
        <w:ind w:right="49"/>
        <w:jc w:val="both"/>
        <w:rPr>
          <w:rFonts w:ascii="Garamond" w:hAnsi="Garamond"/>
        </w:rPr>
      </w:pPr>
      <w:r w:rsidRPr="008B2508">
        <w:rPr>
          <w:rStyle w:val="Textoennegrita"/>
          <w:rFonts w:ascii="Garamond" w:hAnsi="Garamond"/>
        </w:rPr>
        <w:t>El código UNSPSC 45111603 – Pantallas de proyección</w:t>
      </w:r>
      <w:r w:rsidRPr="008B2508">
        <w:rPr>
          <w:rFonts w:ascii="Garamond" w:hAnsi="Garamond"/>
        </w:rPr>
        <w:t xml:space="preserve"> corresponde a la adquisición de superficies diseñadas específicamente para recibir la imagen proyectada por videoproyectores u otros dispositivos ópticos, con el fin de garantizar una visualización clara y nítida del contenido. Estas pantallas pueden ser portátiles, enrollables o fijas, y están fabricadas con materiales que optimizan la reflexión de la luz, mejorando el contraste y la calidad de la proyección en diferentes condiciones de iluminación. En el contexto de la dotación a las Juntas de Acción Comunal, su incorporación permite acondicionar espacios para la realización de presentaciones, jornadas formativas, actividades culturales y eventos comunitarios, fortaleciendo así los procesos pedagógicos y comunicativos. Su uso complementa la funcionalidad de los videoproyectores y facilita la apropiación tecnológica en escenarios de participación ciudadana.</w:t>
      </w:r>
    </w:p>
    <w:p w14:paraId="3174BEE4" w14:textId="1B6134C0" w:rsidR="004051D4" w:rsidRPr="00C13BED" w:rsidRDefault="004051D4" w:rsidP="004051D4">
      <w:pPr>
        <w:pStyle w:val="NormalWeb"/>
        <w:jc w:val="both"/>
        <w:rPr>
          <w:rFonts w:ascii="Garamond" w:hAnsi="Garamond"/>
        </w:rPr>
      </w:pPr>
      <w:r w:rsidRPr="00C13BED">
        <w:rPr>
          <w:rStyle w:val="Textoennegrita"/>
          <w:rFonts w:ascii="Garamond" w:hAnsi="Garamond"/>
          <w:sz w:val="22"/>
          <w:szCs w:val="22"/>
        </w:rPr>
        <w:lastRenderedPageBreak/>
        <w:t>El código UNSPSC 52161512 Altavoces</w:t>
      </w:r>
      <w:r w:rsidRPr="008B2508">
        <w:rPr>
          <w:rFonts w:ascii="Garamond" w:hAnsi="Garamond"/>
        </w:rPr>
        <w:t xml:space="preserve"> </w:t>
      </w:r>
      <w:r w:rsidRPr="00C13BED">
        <w:rPr>
          <w:rFonts w:ascii="Garamond" w:hAnsi="Garamond"/>
          <w:sz w:val="22"/>
          <w:szCs w:val="22"/>
        </w:rPr>
        <w:t>hace parte de la familia de productos electrónicos de consumo, específicamente dentro de la clase de equipos audiovisual. Este código refiere a dispositivos electromecánicos o electrónicos diseñados para convertir señales de audio en sonido audible con claridad y potencia adecuada para espacios comunitarios o institucionales. En el contexto de la dotación a Juntas</w:t>
      </w:r>
      <w:r w:rsidR="00C13BED">
        <w:rPr>
          <w:rFonts w:ascii="Garamond" w:hAnsi="Garamond"/>
        </w:rPr>
        <w:t xml:space="preserve"> </w:t>
      </w:r>
      <w:r w:rsidRPr="00C13BED">
        <w:rPr>
          <w:rFonts w:ascii="Garamond" w:hAnsi="Garamond"/>
          <w:sz w:val="22"/>
          <w:szCs w:val="22"/>
        </w:rPr>
        <w:t>de Acción Comunal, la adquisición de altavoces es crucial para mejorar la calidad de las comunicaciones, amplificar mensajes durante reuniones, eventos culturales, formaciones comunitarias o ceremonias, garantizando audibilidad en entornos cerrados o abiertos y fortaleciendo la participación colectiva.</w:t>
      </w:r>
    </w:p>
    <w:p w14:paraId="66CC0366" w14:textId="77777777" w:rsidR="004051D4" w:rsidRPr="00C04E95" w:rsidRDefault="004051D4" w:rsidP="004051D4">
      <w:pPr>
        <w:pStyle w:val="NormalWeb"/>
        <w:jc w:val="both"/>
        <w:rPr>
          <w:rFonts w:ascii="Garamond" w:eastAsia="Garamond" w:hAnsi="Garamond" w:cs="Garamond"/>
          <w:sz w:val="22"/>
          <w:szCs w:val="22"/>
        </w:rPr>
      </w:pPr>
      <w:r w:rsidRPr="00C04E95">
        <w:rPr>
          <w:rFonts w:ascii="Garamond" w:eastAsia="Garamond" w:hAnsi="Garamond" w:cs="Garamond"/>
          <w:b/>
          <w:bCs/>
          <w:sz w:val="22"/>
          <w:szCs w:val="22"/>
        </w:rPr>
        <w:t>El Código UNSPSC 52161551</w:t>
      </w:r>
      <w:r w:rsidRPr="00C04E95">
        <w:rPr>
          <w:rFonts w:ascii="Garamond" w:eastAsia="Garamond" w:hAnsi="Garamond" w:cs="Garamond"/>
          <w:sz w:val="22"/>
          <w:szCs w:val="22"/>
        </w:rPr>
        <w:t xml:space="preserve"> Sistema de micrófono inalámbrico y amplificación de instrumentos. equipo electrónico diseñado para la captura, transmisión y amplificación de la voz o sonido de instrumentos musicales sin necesidad de cables físicos de conexión. Se compone, como mínimo, de un micrófono inalámbrico, un receptor de señal, sistema de amplificación y altavoces. Su uso es ideal para actividades comunitarias, culturales y recreativas de las Juntas de Acción Comunal, facilitando la comunicación clara en eventos, asambleas, talleres y presentaciones artísticas. Contribuye al fortalecimiento de las capacidades de gestión social y cultural, fomentando la participación ciudadana y el aprovechamiento del espacio público.</w:t>
      </w:r>
    </w:p>
    <w:p w14:paraId="3BAB4057" w14:textId="77777777" w:rsidR="004051D4" w:rsidRPr="00C04E95" w:rsidRDefault="004051D4" w:rsidP="004051D4">
      <w:pPr>
        <w:pStyle w:val="NormalWeb"/>
        <w:jc w:val="both"/>
        <w:rPr>
          <w:rFonts w:eastAsia="Garamond" w:cs="Garamond"/>
          <w:b/>
          <w:bCs/>
          <w:sz w:val="22"/>
          <w:szCs w:val="22"/>
        </w:rPr>
      </w:pPr>
      <w:r w:rsidRPr="00C04E95">
        <w:rPr>
          <w:rFonts w:ascii="Garamond" w:eastAsia="Garamond" w:hAnsi="Garamond" w:cs="Garamond"/>
          <w:b/>
          <w:bCs/>
          <w:sz w:val="22"/>
          <w:szCs w:val="22"/>
        </w:rPr>
        <w:t>El Código UNSPSC 52161500</w:t>
      </w:r>
      <w:r w:rsidRPr="00C04E95">
        <w:rPr>
          <w:rFonts w:ascii="Garamond" w:eastAsia="Garamond" w:hAnsi="Garamond" w:cs="Garamond"/>
          <w:sz w:val="22"/>
          <w:szCs w:val="22"/>
        </w:rPr>
        <w:t xml:space="preserve"> Este código corresponde a la adquisición de dispositivos electromecánicos diseñados para transformar ondas sonoras en señales eléctricas, permitiendo la captación y transmisión clara de la voz y otros sonidos. En el marco de la dotación a las Juntas de Acción Comunal, estos elementos resultan esenciales para el desarrollo eficiente de actividades colectivas como reuniones, asambleas, capacitaciones, actos culturales y eventos comunitarios. Su implementación optimiza la comunicación, garantiza la audibilidad en espacios abiertos o cerrados y contribuye al fortalecimiento de la participación ciudadana, asegurando que la información llegue de manera precisa y efectiva a todos los asistentes.</w:t>
      </w:r>
    </w:p>
    <w:p w14:paraId="4F85A545" w14:textId="4B448BFE" w:rsidR="004051D4" w:rsidRPr="00C04E95" w:rsidRDefault="004051D4" w:rsidP="004051D4">
      <w:pPr>
        <w:pStyle w:val="NormalWeb"/>
        <w:jc w:val="both"/>
        <w:rPr>
          <w:rFonts w:ascii="Garamond" w:eastAsia="Garamond" w:hAnsi="Garamond" w:cs="Garamond"/>
          <w:b/>
          <w:bCs/>
          <w:sz w:val="22"/>
          <w:szCs w:val="22"/>
        </w:rPr>
      </w:pPr>
      <w:r w:rsidRPr="00C04E95">
        <w:rPr>
          <w:rFonts w:ascii="Garamond" w:eastAsia="Garamond" w:hAnsi="Garamond" w:cs="Garamond"/>
          <w:b/>
          <w:bCs/>
          <w:sz w:val="22"/>
          <w:szCs w:val="22"/>
        </w:rPr>
        <w:t>Código UNSPSC 43212104 – Impresoras de inyección de tinta</w:t>
      </w:r>
      <w:r w:rsidRPr="00C04E95">
        <w:rPr>
          <w:rFonts w:ascii="Garamond" w:eastAsia="Garamond" w:hAnsi="Garamond" w:cs="Garamond"/>
          <w:b/>
          <w:bCs/>
          <w:sz w:val="22"/>
          <w:szCs w:val="22"/>
        </w:rPr>
        <w:br/>
      </w:r>
      <w:r w:rsidRPr="00C04E95">
        <w:rPr>
          <w:rFonts w:ascii="Garamond" w:eastAsia="Garamond" w:hAnsi="Garamond" w:cs="Garamond"/>
          <w:sz w:val="22"/>
          <w:szCs w:val="22"/>
        </w:rPr>
        <w:t>Este código hace referencia a equipos periféricos de salida diseñados para la impresión de documentos, imágenes y gráficos mediante tecnología de inyección de tinta, la cual expulsa microgotas de tinta directamente sobre el papel para obtener impresiones de alta calidad. En el contexto de la dotación a las Juntas de Acción Comunal, estas impresoras son herramientas clave para fortalecer la gestión administrativa y operativa, facilitando la elaboración de actas, informes, convocatorias, material pedagógico y piezas de comunicación comunitaria. Su uso promueve la eficiencia en los procesos internos, la transparencia documental y la capacidad de respuesta oportuna frente a las necesidades del territorio.</w:t>
      </w:r>
    </w:p>
    <w:p w14:paraId="2A3077CB" w14:textId="7B316863" w:rsidR="0094434A" w:rsidRPr="00C13BED" w:rsidRDefault="004051D4" w:rsidP="004051D4">
      <w:pPr>
        <w:pStyle w:val="NormalWeb"/>
        <w:jc w:val="both"/>
        <w:rPr>
          <w:rStyle w:val="Textoennegrita"/>
          <w:rFonts w:ascii="Garamond" w:eastAsia="Garamond" w:hAnsi="Garamond" w:cs="Garamond"/>
          <w:b w:val="0"/>
          <w:bCs w:val="0"/>
          <w:sz w:val="22"/>
          <w:szCs w:val="22"/>
        </w:rPr>
      </w:pPr>
      <w:r w:rsidRPr="00C04E95">
        <w:rPr>
          <w:rFonts w:ascii="Garamond" w:eastAsia="Garamond" w:hAnsi="Garamond" w:cs="Garamond"/>
          <w:b/>
          <w:bCs/>
          <w:sz w:val="22"/>
          <w:szCs w:val="22"/>
        </w:rPr>
        <w:t>El código UNSPSC 49121503</w:t>
      </w:r>
      <w:r w:rsidRPr="00C04E95">
        <w:rPr>
          <w:rFonts w:ascii="Garamond" w:eastAsia="Garamond" w:hAnsi="Garamond" w:cs="Garamond"/>
          <w:sz w:val="22"/>
          <w:szCs w:val="22"/>
        </w:rPr>
        <w:t xml:space="preserve"> Carpas corresponde a la adquisición de estructuras portátiles tipo tienda, utilizadas como refugio temporal o espacio cubierto en actividades comunitarias, eventos al aire libre, ferias, jornadas sociales o recreativas. Se clasifica dentro del segmento.</w:t>
      </w:r>
    </w:p>
    <w:p w14:paraId="07874CE5" w14:textId="2070623E" w:rsidR="004051D4" w:rsidRPr="00C04E95" w:rsidRDefault="004051D4" w:rsidP="004051D4">
      <w:pPr>
        <w:pStyle w:val="NormalWeb"/>
        <w:jc w:val="both"/>
        <w:rPr>
          <w:rFonts w:ascii="Garamond" w:eastAsia="Garamond" w:hAnsi="Garamond" w:cs="Garamond"/>
          <w:sz w:val="22"/>
          <w:szCs w:val="22"/>
        </w:rPr>
      </w:pPr>
      <w:r w:rsidRPr="00C04E95">
        <w:rPr>
          <w:rFonts w:eastAsia="Garamond" w:cs="Garamond"/>
          <w:b/>
          <w:bCs/>
          <w:sz w:val="22"/>
          <w:szCs w:val="22"/>
        </w:rPr>
        <w:t>El código UNSPSC 56101519   Mesas</w:t>
      </w:r>
      <w:r w:rsidRPr="00C04E95">
        <w:rPr>
          <w:rFonts w:ascii="Garamond" w:eastAsia="Garamond" w:hAnsi="Garamond" w:cs="Garamond"/>
          <w:sz w:val="22"/>
          <w:szCs w:val="22"/>
        </w:rPr>
        <w:t xml:space="preserve"> corresponde a la adquisición de mobiliario tipo mesa, diseñado para brindar superficies funcionales en espacios de atención, trabajo, encuentro o exposición.</w:t>
      </w:r>
    </w:p>
    <w:p w14:paraId="7865980E" w14:textId="53A8879B" w:rsidR="004051D4" w:rsidRPr="00C04E95" w:rsidRDefault="004051D4" w:rsidP="004051D4">
      <w:pPr>
        <w:pStyle w:val="NormalWeb"/>
        <w:jc w:val="both"/>
        <w:rPr>
          <w:rFonts w:ascii="Garamond" w:eastAsia="Garamond" w:hAnsi="Garamond" w:cs="Garamond"/>
          <w:sz w:val="22"/>
          <w:szCs w:val="22"/>
        </w:rPr>
      </w:pPr>
      <w:r w:rsidRPr="00C04E95">
        <w:rPr>
          <w:rFonts w:ascii="Garamond" w:eastAsia="Garamond" w:hAnsi="Garamond" w:cs="Garamond"/>
          <w:b/>
          <w:bCs/>
          <w:sz w:val="22"/>
          <w:szCs w:val="22"/>
        </w:rPr>
        <w:t>El código UNSPSC 56112105 Sillas</w:t>
      </w:r>
      <w:r w:rsidRPr="00C04E95">
        <w:rPr>
          <w:rFonts w:ascii="Garamond" w:eastAsia="Garamond" w:hAnsi="Garamond" w:cs="Garamond"/>
          <w:sz w:val="22"/>
          <w:szCs w:val="22"/>
        </w:rPr>
        <w:t xml:space="preserve"> se refiere a la adquisición de mobiliario tipo sillón o asientos confortables diseñados para áreas comunes, salas de espera, zonas de descanso o espacios de encuentro comunitarios.</w:t>
      </w:r>
    </w:p>
    <w:p w14:paraId="1C0D2F3D" w14:textId="459CBAEE" w:rsidR="004051D4" w:rsidRPr="00C04E95" w:rsidRDefault="004051D4" w:rsidP="004051D4">
      <w:pPr>
        <w:pStyle w:val="NormalWeb"/>
        <w:jc w:val="both"/>
        <w:rPr>
          <w:rFonts w:ascii="Garamond" w:eastAsia="Garamond" w:hAnsi="Garamond" w:cs="Garamond"/>
          <w:sz w:val="22"/>
          <w:szCs w:val="22"/>
        </w:rPr>
      </w:pPr>
      <w:r w:rsidRPr="00C13BED">
        <w:rPr>
          <w:rFonts w:ascii="Garamond" w:eastAsia="Garamond" w:hAnsi="Garamond" w:cs="Garamond"/>
          <w:b/>
          <w:bCs/>
          <w:sz w:val="22"/>
          <w:szCs w:val="22"/>
        </w:rPr>
        <w:lastRenderedPageBreak/>
        <w:t>El código UNSPSC 56101703 Escritorios</w:t>
      </w:r>
      <w:r w:rsidRPr="00C04E95">
        <w:rPr>
          <w:rFonts w:eastAsia="Garamond" w:cs="Garamond"/>
          <w:b/>
          <w:bCs/>
          <w:sz w:val="22"/>
          <w:szCs w:val="22"/>
        </w:rPr>
        <w:t xml:space="preserve"> </w:t>
      </w:r>
      <w:r w:rsidRPr="00C04E95">
        <w:rPr>
          <w:rFonts w:ascii="Garamond" w:eastAsia="Garamond" w:hAnsi="Garamond" w:cs="Garamond"/>
          <w:sz w:val="22"/>
          <w:szCs w:val="22"/>
        </w:rPr>
        <w:t>corresponde a la adquisición de mobiliario de oficina conformado por superficies de trabajo horizontales sobre estructuras fijas, diseñadas para actividades administrativas, elaboraciones documentales y operativas.</w:t>
      </w:r>
    </w:p>
    <w:p w14:paraId="40D9FB92" w14:textId="77777777" w:rsidR="004051D4" w:rsidRPr="00A84FC6" w:rsidRDefault="004051D4" w:rsidP="004051D4">
      <w:pPr>
        <w:spacing w:before="1" w:line="232" w:lineRule="auto"/>
        <w:ind w:right="49"/>
        <w:jc w:val="both"/>
        <w:rPr>
          <w:rFonts w:ascii="Garamond" w:hAnsi="Garamond"/>
        </w:rPr>
      </w:pPr>
      <w:r w:rsidRPr="00A84FC6">
        <w:rPr>
          <w:rFonts w:ascii="Garamond" w:hAnsi="Garamond"/>
        </w:rPr>
        <w:t xml:space="preserve">En el marco del proceso de dotación a las Juntas de Acción Comunal, los sectores económicos a los que pertenecen las empresas proveedoras corresponden principalmente al </w:t>
      </w:r>
      <w:r w:rsidRPr="00A84FC6">
        <w:rPr>
          <w:rStyle w:val="Textoennegrita"/>
          <w:rFonts w:ascii="Garamond" w:hAnsi="Garamond"/>
        </w:rPr>
        <w:t>sector terciario o sector de servicios</w:t>
      </w:r>
      <w:r w:rsidRPr="00A84FC6">
        <w:rPr>
          <w:rFonts w:ascii="Garamond" w:hAnsi="Garamond"/>
        </w:rPr>
        <w:t xml:space="preserve">, el cual abarca actividades económicas orientadas a la prestación de servicios logísticos, culturales, sociales, técnicos y operativos. Estas actividades incluyen la organización y gestión de eventos, la promoción cultural, el transporte, el suministro de personal temporal, servicios audiovisuales, cáterin, entre otros, todos enfocados en atender necesidades institucionales y comunitarias. Asimismo, los </w:t>
      </w:r>
      <w:r w:rsidRPr="00A84FC6">
        <w:rPr>
          <w:rStyle w:val="Textoennegrita"/>
          <w:rFonts w:ascii="Garamond" w:hAnsi="Garamond"/>
        </w:rPr>
        <w:t>códigos UNSPSC referenciados en este proceso</w:t>
      </w:r>
      <w:r w:rsidRPr="00A84FC6">
        <w:rPr>
          <w:rFonts w:ascii="Garamond" w:hAnsi="Garamond"/>
        </w:rPr>
        <w:t xml:space="preserve"> se enmarcan mayoritariamente en el sector terciario, dado su carácter funcional relacionado con bienes y servicios utilizados para fortalecer la gestión, participación y operación comunitaria de las JAC, mediante herramientas tecnológicas, mobiliario, y soluciones logísticas.</w:t>
      </w:r>
    </w:p>
    <w:p w14:paraId="0594E3AA" w14:textId="77777777" w:rsidR="004051D4" w:rsidRDefault="004051D4" w:rsidP="004051D4">
      <w:pPr>
        <w:spacing w:before="1" w:line="232" w:lineRule="auto"/>
        <w:ind w:right="260"/>
        <w:jc w:val="both"/>
        <w:rPr>
          <w:rFonts w:ascii="Garamond" w:eastAsia="Garamond" w:hAnsi="Garamond" w:cs="Garamond"/>
          <w:color w:val="000000"/>
        </w:rPr>
      </w:pPr>
    </w:p>
    <w:p w14:paraId="3BEE9925" w14:textId="77777777" w:rsidR="004051D4" w:rsidRPr="000F7BC2" w:rsidRDefault="004051D4" w:rsidP="004051D4">
      <w:pPr>
        <w:jc w:val="both"/>
        <w:rPr>
          <w:rFonts w:ascii="Garamond" w:eastAsia="Garamond" w:hAnsi="Garamond" w:cs="Garamond"/>
        </w:rPr>
      </w:pPr>
      <w:r>
        <w:rPr>
          <w:rFonts w:ascii="Garamond" w:eastAsia="Garamond" w:hAnsi="Garamond" w:cs="Garamond"/>
        </w:rPr>
        <w:t>Los agentes económicos entendidos como cualquiera de las partes que hacen posible el desarrollo de las actividades económicas contratadas, pueden participar o tomar decisiones en forma de productores, consumidores, ahorradores o incluso inversores. Para este caso, los agentes que componen el sector terciario son aquellas empresas que prestan servicios como:</w:t>
      </w:r>
    </w:p>
    <w:p w14:paraId="4B75F69C" w14:textId="77777777" w:rsidR="004051D4" w:rsidRDefault="004051D4" w:rsidP="004051D4">
      <w:pPr>
        <w:widowControl/>
        <w:spacing w:before="1"/>
        <w:ind w:right="260"/>
        <w:jc w:val="both"/>
      </w:pPr>
      <w:r>
        <w:rPr>
          <w:rFonts w:ascii="Garamond" w:hAnsi="Garamond"/>
          <w:b/>
          <w:bCs/>
          <w:color w:val="000000"/>
        </w:rPr>
        <w:t>Sector Terciario (Servicios)</w:t>
      </w:r>
    </w:p>
    <w:p w14:paraId="0782942B" w14:textId="77777777" w:rsidR="004051D4" w:rsidRPr="00A84FC6" w:rsidRDefault="004051D4" w:rsidP="004051D4">
      <w:pPr>
        <w:widowControl/>
      </w:pPr>
    </w:p>
    <w:p w14:paraId="377AF2C3" w14:textId="77777777" w:rsidR="004051D4" w:rsidRPr="00A84FC6" w:rsidRDefault="004051D4" w:rsidP="005A6698">
      <w:pPr>
        <w:widowControl/>
        <w:numPr>
          <w:ilvl w:val="0"/>
          <w:numId w:val="7"/>
        </w:numPr>
        <w:spacing w:before="1"/>
        <w:ind w:right="260"/>
        <w:jc w:val="both"/>
        <w:textAlignment w:val="baseline"/>
        <w:rPr>
          <w:rFonts w:ascii="Garamond" w:hAnsi="Garamond"/>
          <w:color w:val="000000"/>
        </w:rPr>
      </w:pPr>
      <w:r w:rsidRPr="00A84FC6">
        <w:rPr>
          <w:rFonts w:ascii="Garamond" w:hAnsi="Garamond"/>
          <w:color w:val="000000"/>
        </w:rPr>
        <w:t>Servicios de promoción y organización de eventos</w:t>
      </w:r>
    </w:p>
    <w:p w14:paraId="02C00513" w14:textId="77777777" w:rsidR="004051D4" w:rsidRPr="00A84FC6" w:rsidRDefault="004051D4" w:rsidP="005A6698">
      <w:pPr>
        <w:widowControl/>
        <w:numPr>
          <w:ilvl w:val="0"/>
          <w:numId w:val="7"/>
        </w:numPr>
        <w:spacing w:before="1"/>
        <w:ind w:right="260"/>
        <w:jc w:val="both"/>
        <w:textAlignment w:val="baseline"/>
        <w:rPr>
          <w:rFonts w:ascii="Garamond" w:hAnsi="Garamond"/>
          <w:color w:val="000000"/>
        </w:rPr>
      </w:pPr>
      <w:r w:rsidRPr="00A84FC6">
        <w:rPr>
          <w:rFonts w:ascii="Garamond" w:hAnsi="Garamond"/>
          <w:color w:val="000000"/>
        </w:rPr>
        <w:t>Gestión de eventos</w:t>
      </w:r>
    </w:p>
    <w:p w14:paraId="1B8F6267" w14:textId="77777777" w:rsidR="004051D4" w:rsidRPr="00A84FC6" w:rsidRDefault="004051D4" w:rsidP="005A6698">
      <w:pPr>
        <w:widowControl/>
        <w:numPr>
          <w:ilvl w:val="0"/>
          <w:numId w:val="7"/>
        </w:numPr>
        <w:spacing w:before="1"/>
        <w:ind w:right="260"/>
        <w:jc w:val="both"/>
        <w:textAlignment w:val="baseline"/>
        <w:rPr>
          <w:rFonts w:ascii="Garamond" w:hAnsi="Garamond"/>
          <w:color w:val="000000"/>
        </w:rPr>
      </w:pPr>
      <w:r w:rsidRPr="00A84FC6">
        <w:rPr>
          <w:rFonts w:ascii="Garamond" w:hAnsi="Garamond"/>
          <w:color w:val="000000"/>
        </w:rPr>
        <w:t>Comercio al por menor y mayor de productos</w:t>
      </w:r>
    </w:p>
    <w:p w14:paraId="66BEBB3F" w14:textId="77777777" w:rsidR="004051D4" w:rsidRPr="00A84FC6" w:rsidRDefault="004051D4" w:rsidP="005A6698">
      <w:pPr>
        <w:widowControl/>
        <w:numPr>
          <w:ilvl w:val="0"/>
          <w:numId w:val="7"/>
        </w:numPr>
        <w:spacing w:before="1"/>
        <w:ind w:right="260"/>
        <w:jc w:val="both"/>
        <w:textAlignment w:val="baseline"/>
        <w:rPr>
          <w:rFonts w:ascii="Garamond" w:hAnsi="Garamond"/>
          <w:color w:val="000000"/>
        </w:rPr>
      </w:pPr>
      <w:r w:rsidRPr="00A84FC6">
        <w:rPr>
          <w:rFonts w:ascii="Garamond" w:hAnsi="Garamond"/>
          <w:color w:val="000000"/>
        </w:rPr>
        <w:t>Servicios de educación y capacitación</w:t>
      </w:r>
    </w:p>
    <w:p w14:paraId="3E2248B6" w14:textId="77777777" w:rsidR="004051D4"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de asesoramiento y consultoría</w:t>
      </w:r>
    </w:p>
    <w:p w14:paraId="444C4C61" w14:textId="77777777" w:rsidR="004051D4"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de organización de actividades recreativas y deportivas</w:t>
      </w:r>
    </w:p>
    <w:p w14:paraId="3E1AEC0C" w14:textId="77777777" w:rsidR="004051D4"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de marketing y publicidad</w:t>
      </w:r>
    </w:p>
    <w:p w14:paraId="29DE54CA" w14:textId="77777777" w:rsidR="004051D4"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de logística y transporte</w:t>
      </w:r>
    </w:p>
    <w:p w14:paraId="51678759" w14:textId="77777777" w:rsidR="004051D4"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de almacenamiento y distribución</w:t>
      </w:r>
    </w:p>
    <w:p w14:paraId="0BC0437E" w14:textId="77777777" w:rsidR="004051D4"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financieros y bancarios</w:t>
      </w:r>
    </w:p>
    <w:p w14:paraId="69E9EA4C" w14:textId="77777777" w:rsidR="004051D4"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de seguros</w:t>
      </w:r>
    </w:p>
    <w:p w14:paraId="4DCE6849" w14:textId="77777777" w:rsidR="004051D4"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de salud y bienestar</w:t>
      </w:r>
    </w:p>
    <w:p w14:paraId="028389F8" w14:textId="77777777" w:rsidR="004051D4"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de turismo y hospitalidad</w:t>
      </w:r>
    </w:p>
    <w:p w14:paraId="0B50B395" w14:textId="77777777" w:rsidR="004051D4"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de entretenimiento y ocio</w:t>
      </w:r>
    </w:p>
    <w:p w14:paraId="32060F5C" w14:textId="77777777" w:rsidR="004051D4"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de información y comunicación</w:t>
      </w:r>
    </w:p>
    <w:p w14:paraId="2D87F7AF" w14:textId="77777777" w:rsidR="004051D4" w:rsidRPr="00A84FC6" w:rsidRDefault="004051D4" w:rsidP="005A6698">
      <w:pPr>
        <w:widowControl/>
        <w:numPr>
          <w:ilvl w:val="0"/>
          <w:numId w:val="7"/>
        </w:numPr>
        <w:spacing w:before="1"/>
        <w:ind w:right="260"/>
        <w:jc w:val="both"/>
        <w:textAlignment w:val="baseline"/>
        <w:rPr>
          <w:rFonts w:ascii="Garamond" w:hAnsi="Garamond"/>
          <w:color w:val="000000"/>
        </w:rPr>
      </w:pPr>
      <w:r>
        <w:rPr>
          <w:rFonts w:ascii="Garamond" w:hAnsi="Garamond"/>
          <w:color w:val="000000"/>
        </w:rPr>
        <w:t>Servicios de tecnología e informática</w:t>
      </w:r>
    </w:p>
    <w:p w14:paraId="5435B2CD" w14:textId="77777777" w:rsidR="004051D4" w:rsidRPr="00BF757C" w:rsidRDefault="004051D4" w:rsidP="004051D4">
      <w:pPr>
        <w:pBdr>
          <w:top w:val="nil"/>
          <w:left w:val="nil"/>
          <w:bottom w:val="nil"/>
          <w:right w:val="nil"/>
          <w:between w:val="nil"/>
        </w:pBdr>
        <w:spacing w:before="1" w:line="235" w:lineRule="auto"/>
        <w:ind w:right="260"/>
        <w:jc w:val="both"/>
        <w:rPr>
          <w:rFonts w:ascii="Garamond" w:eastAsia="Garamond" w:hAnsi="Garamond" w:cs="Garamond"/>
          <w:b/>
          <w:color w:val="000000"/>
        </w:rPr>
      </w:pPr>
    </w:p>
    <w:p w14:paraId="2B1949D6" w14:textId="7A8FC551" w:rsidR="004051D4" w:rsidRPr="00BF757C" w:rsidRDefault="004051D4" w:rsidP="005A6698">
      <w:pPr>
        <w:pStyle w:val="Prrafodelista"/>
        <w:numPr>
          <w:ilvl w:val="0"/>
          <w:numId w:val="8"/>
        </w:numPr>
        <w:pBdr>
          <w:top w:val="nil"/>
          <w:left w:val="nil"/>
          <w:bottom w:val="nil"/>
          <w:right w:val="nil"/>
          <w:between w:val="nil"/>
        </w:pBdr>
        <w:spacing w:before="1" w:line="235" w:lineRule="auto"/>
        <w:ind w:right="260"/>
        <w:jc w:val="both"/>
        <w:rPr>
          <w:rFonts w:ascii="Garamond" w:eastAsia="Garamond" w:hAnsi="Garamond" w:cs="Garamond"/>
          <w:color w:val="000000"/>
          <w:sz w:val="24"/>
          <w:szCs w:val="24"/>
        </w:rPr>
      </w:pPr>
      <w:r w:rsidRPr="00BF757C">
        <w:rPr>
          <w:rStyle w:val="Textoennegrita"/>
          <w:rFonts w:ascii="Garamond" w:hAnsi="Garamond"/>
          <w:sz w:val="24"/>
          <w:szCs w:val="24"/>
        </w:rPr>
        <w:t>CONTEXTO ECONÓMICO MUNDIAL EN</w:t>
      </w:r>
      <w:r w:rsidRPr="00110A1D">
        <w:rPr>
          <w:rStyle w:val="Textoennegrita"/>
          <w:rFonts w:ascii="Garamond" w:hAnsi="Garamond"/>
          <w:sz w:val="24"/>
          <w:szCs w:val="24"/>
        </w:rPr>
        <w:t xml:space="preserve"> 202</w:t>
      </w:r>
      <w:r w:rsidR="00CB4623" w:rsidRPr="00110A1D">
        <w:rPr>
          <w:rStyle w:val="Textoennegrita"/>
          <w:rFonts w:ascii="Garamond" w:hAnsi="Garamond"/>
          <w:sz w:val="24"/>
          <w:szCs w:val="24"/>
        </w:rPr>
        <w:t>6</w:t>
      </w:r>
    </w:p>
    <w:p w14:paraId="0432735C" w14:textId="77777777" w:rsidR="004051D4" w:rsidRPr="00BF757C" w:rsidRDefault="004051D4" w:rsidP="00110A1D">
      <w:pPr>
        <w:pBdr>
          <w:top w:val="nil"/>
          <w:left w:val="nil"/>
          <w:bottom w:val="nil"/>
          <w:right w:val="nil"/>
          <w:between w:val="nil"/>
        </w:pBdr>
        <w:spacing w:before="1" w:line="235" w:lineRule="auto"/>
        <w:ind w:right="260"/>
        <w:jc w:val="both"/>
        <w:rPr>
          <w:rFonts w:ascii="Garamond" w:eastAsia="Garamond" w:hAnsi="Garamond" w:cs="Garamond"/>
          <w:color w:val="000000"/>
        </w:rPr>
      </w:pPr>
    </w:p>
    <w:p w14:paraId="1F90F419" w14:textId="65781568" w:rsidR="00CB4623" w:rsidRPr="00442824" w:rsidRDefault="00ED36CE"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 xml:space="preserve">La economía mundial en 2026 se caracteriza por un escenario de crecimiento moderado, persistencia de riesgos geopolíticos y un proceso gradual de estabilización inflacionaria. Aunque las principales economías han evitado </w:t>
      </w:r>
      <w:r w:rsidRPr="00442824">
        <w:rPr>
          <w:rFonts w:ascii="Garamond" w:hAnsi="Garamond"/>
          <w:sz w:val="22"/>
          <w:szCs w:val="22"/>
        </w:rPr>
        <w:lastRenderedPageBreak/>
        <w:t>una desaceleración severa, el entorno internacional continúa marcado por elevados niveles de incertidumbre derivados de conflictos geopolíticos, tensiones comerciales y condiciones financieras todavía restrictivas.</w:t>
      </w:r>
    </w:p>
    <w:p w14:paraId="4ADA2646" w14:textId="2DFB300F" w:rsidR="009B5A87" w:rsidRPr="00442824" w:rsidRDefault="009B5A87" w:rsidP="00442824">
      <w:pPr>
        <w:pStyle w:val="NormalWeb"/>
        <w:spacing w:before="0" w:beforeAutospacing="0" w:after="0" w:afterAutospacing="0"/>
        <w:jc w:val="both"/>
        <w:rPr>
          <w:rFonts w:ascii="Garamond" w:hAnsi="Garamond"/>
          <w:sz w:val="22"/>
          <w:szCs w:val="22"/>
        </w:rPr>
      </w:pPr>
    </w:p>
    <w:p w14:paraId="4480EDB8" w14:textId="77777777" w:rsidR="009B5A87" w:rsidRPr="00442824" w:rsidRDefault="009B5A87"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El Informe sobre la estabilidad financiera mundial de abril de 2026 evalúa los elevados riesgos para la estabilidad financiera derivados de la guerra en Oriente Medio, y destaca que la existencia de diversos canales de amplificación podría poner a prueba la resiliencia, lo que exige medidas decisivas para salvaguardar la estabilidad mundial.</w:t>
      </w:r>
    </w:p>
    <w:p w14:paraId="186F871E" w14:textId="3FFEFB26" w:rsidR="009B5A87" w:rsidRPr="00442824" w:rsidRDefault="009B5A87" w:rsidP="00442824">
      <w:pPr>
        <w:pStyle w:val="NormalWeb"/>
        <w:spacing w:before="0" w:beforeAutospacing="0" w:after="0" w:afterAutospacing="0"/>
        <w:jc w:val="both"/>
        <w:rPr>
          <w:sz w:val="22"/>
          <w:szCs w:val="22"/>
        </w:rPr>
      </w:pPr>
    </w:p>
    <w:p w14:paraId="36E540D1" w14:textId="77777777" w:rsidR="004051D4" w:rsidRPr="00442824" w:rsidRDefault="004051D4" w:rsidP="00442824">
      <w:pPr>
        <w:pStyle w:val="NormalWeb"/>
        <w:spacing w:before="0" w:beforeAutospacing="0" w:after="0" w:afterAutospacing="0"/>
        <w:jc w:val="both"/>
        <w:rPr>
          <w:rFonts w:ascii="Garamond" w:hAnsi="Garamond"/>
          <w:sz w:val="22"/>
          <w:szCs w:val="22"/>
        </w:rPr>
      </w:pPr>
      <w:r w:rsidRPr="00442824">
        <w:rPr>
          <w:b/>
          <w:bCs/>
          <w:sz w:val="22"/>
          <w:szCs w:val="22"/>
        </w:rPr>
        <w:t>Crecimiento económico global moderado</w:t>
      </w:r>
    </w:p>
    <w:p w14:paraId="77D9C1D5" w14:textId="77777777" w:rsidR="00ED36CE" w:rsidRPr="00442824" w:rsidRDefault="00ED36CE"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 xml:space="preserve">El Fondo Monetario Internacional estima que la economía mundial crecerá alrededor de </w:t>
      </w:r>
      <w:r w:rsidRPr="00442824">
        <w:rPr>
          <w:rFonts w:ascii="Garamond" w:hAnsi="Garamond"/>
          <w:b/>
          <w:bCs/>
          <w:sz w:val="22"/>
          <w:szCs w:val="22"/>
        </w:rPr>
        <w:t>3.1% en 2026</w:t>
      </w:r>
      <w:r w:rsidRPr="00442824">
        <w:rPr>
          <w:rFonts w:ascii="Garamond" w:hAnsi="Garamond"/>
          <w:sz w:val="22"/>
          <w:szCs w:val="22"/>
        </w:rPr>
        <w:t xml:space="preserve">, una tasa moderada y todavía inferior al promedio histórico previo a la pandemia. El organismo advierte que el crecimiento sigue condicionado por tensiones geopolíticas, barreras comerciales y alta incertidumbre internacional. </w:t>
      </w:r>
    </w:p>
    <w:p w14:paraId="77EDF3C0" w14:textId="77777777" w:rsidR="00ED36CE" w:rsidRPr="00442824" w:rsidRDefault="00ED36CE"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 xml:space="preserve">Las economías avanzadas —como Estados Unidos, la zona euro y Japón— continúan mostrando un crecimiento más lento que las economías emergentes y en desarrollo. En contraste, los mercados emergentes mantienen un mayor dinamismo gracias al consumo interno, inversión tecnológica y expansión industrial. </w:t>
      </w:r>
    </w:p>
    <w:p w14:paraId="7EACF1D3" w14:textId="77777777" w:rsidR="00ED36CE" w:rsidRPr="00442824" w:rsidRDefault="00ED36CE"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 xml:space="preserve">China mantiene una senda de crecimiento moderado cercana al </w:t>
      </w:r>
      <w:r w:rsidRPr="00442824">
        <w:rPr>
          <w:rFonts w:ascii="Garamond" w:hAnsi="Garamond"/>
          <w:b/>
          <w:bCs/>
          <w:sz w:val="22"/>
          <w:szCs w:val="22"/>
        </w:rPr>
        <w:t>4.4%-4.5% en 2026</w:t>
      </w:r>
      <w:r w:rsidRPr="00442824">
        <w:rPr>
          <w:rFonts w:ascii="Garamond" w:hAnsi="Garamond"/>
          <w:sz w:val="22"/>
          <w:szCs w:val="22"/>
        </w:rPr>
        <w:t xml:space="preserve">, apoyada por estímulos fiscales y políticas orientadas al consumo y la innovación tecnológica, aunque persisten desafíos estructurales relacionados con el sector inmobiliario y el envejecimiento poblacional. </w:t>
      </w:r>
    </w:p>
    <w:p w14:paraId="4BC62D34" w14:textId="77777777" w:rsidR="00ED36CE" w:rsidRPr="00442824" w:rsidRDefault="00ED36CE"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 xml:space="preserve">India continúa destacándose como una de las economías de mayor crecimiento del mundo, con proyecciones superiores al </w:t>
      </w:r>
      <w:r w:rsidRPr="00442824">
        <w:rPr>
          <w:rFonts w:ascii="Garamond" w:hAnsi="Garamond"/>
          <w:b/>
          <w:bCs/>
          <w:sz w:val="22"/>
          <w:szCs w:val="22"/>
        </w:rPr>
        <w:t>6.4%-6.5% en 2026</w:t>
      </w:r>
      <w:r w:rsidRPr="00442824">
        <w:rPr>
          <w:rFonts w:ascii="Garamond" w:hAnsi="Garamond"/>
          <w:sz w:val="22"/>
          <w:szCs w:val="22"/>
        </w:rPr>
        <w:t xml:space="preserve">, impulsadas por la demanda interna, la digitalización y la expansión manufacturera. </w:t>
      </w:r>
    </w:p>
    <w:p w14:paraId="1BC9467D" w14:textId="51514947" w:rsidR="004051D4" w:rsidRPr="00442824" w:rsidRDefault="00ED36CE"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El Banco Mundial también señala que el crecimiento global sigue siendo resiliente, aunque desigual entre regiones, y advierte que la década actual podría registrar uno de los ritmos de crecimiento más bajos desde los años sesenta.</w:t>
      </w:r>
    </w:p>
    <w:p w14:paraId="219A7AAC" w14:textId="08A2415A" w:rsidR="00ED36CE" w:rsidRPr="00442824" w:rsidRDefault="004051D4" w:rsidP="00442824">
      <w:pPr>
        <w:pStyle w:val="NormalWeb"/>
        <w:spacing w:before="0" w:beforeAutospacing="0" w:after="0" w:afterAutospacing="0"/>
        <w:jc w:val="both"/>
        <w:rPr>
          <w:rFonts w:ascii="Garamond" w:hAnsi="Garamond"/>
          <w:sz w:val="22"/>
          <w:szCs w:val="22"/>
        </w:rPr>
      </w:pPr>
      <w:r w:rsidRPr="00442824">
        <w:rPr>
          <w:b/>
          <w:bCs/>
          <w:sz w:val="22"/>
          <w:szCs w:val="22"/>
        </w:rPr>
        <w:t>Inflación y tasas de interés</w:t>
      </w:r>
    </w:p>
    <w:p w14:paraId="604F7DD1" w14:textId="7609B7DC" w:rsidR="00ED36CE" w:rsidRPr="00442824" w:rsidRDefault="00ED36CE"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 xml:space="preserve">Durante 2026, la inflación mundial continúa mostrando una tendencia de desaceleración frente a los niveles elevados observados entre 2022 y 2024; sin embargo, sigue ubicándose por encima de las metas de muchos bancos centrales. El Fondo Monetario Internacional (FMI) estima que la inflación global se sitúe alrededor del 3.8%–4.4% en 2026, dependiendo del comportamiento de los precios de la energía, las tensiones geopolíticas y la evolución del comercio internacional. </w:t>
      </w:r>
    </w:p>
    <w:p w14:paraId="6DDF6CD4" w14:textId="77777777" w:rsidR="00ED36CE" w:rsidRPr="00442824" w:rsidRDefault="00ED36CE" w:rsidP="00442824">
      <w:pPr>
        <w:pStyle w:val="NormalWeb"/>
        <w:spacing w:before="0" w:beforeAutospacing="0" w:after="0" w:afterAutospacing="0"/>
        <w:jc w:val="both"/>
        <w:rPr>
          <w:rFonts w:ascii="Garamond" w:hAnsi="Garamond"/>
          <w:sz w:val="22"/>
          <w:szCs w:val="22"/>
        </w:rPr>
      </w:pPr>
    </w:p>
    <w:p w14:paraId="4282BC4F" w14:textId="15ABFC1A" w:rsidR="00ED36CE" w:rsidRPr="00442824" w:rsidRDefault="00ED36CE"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 xml:space="preserve">Las economías avanzadas han logrado una moderación más gradual de la inflación gracias a políticas monetarias restrictivas implementadas en los últimos años. No obstante, persisten presiones derivadas del aumento en costos energéticos, conflictos internacionales y volatilidad en cadenas de suministro. En Estados Unidos y Europa, los bancos centrales mantienen una postura cautelosa frente a posibles reducciones aceleradas de tasas de interés. </w:t>
      </w:r>
    </w:p>
    <w:p w14:paraId="01F33902" w14:textId="77777777" w:rsidR="00ED36CE" w:rsidRPr="00442824" w:rsidRDefault="00ED36CE" w:rsidP="00442824">
      <w:pPr>
        <w:pStyle w:val="NormalWeb"/>
        <w:spacing w:before="0" w:beforeAutospacing="0" w:after="0" w:afterAutospacing="0"/>
        <w:jc w:val="both"/>
        <w:rPr>
          <w:rFonts w:ascii="Garamond" w:hAnsi="Garamond"/>
          <w:sz w:val="22"/>
          <w:szCs w:val="22"/>
        </w:rPr>
      </w:pPr>
    </w:p>
    <w:p w14:paraId="5AE1E4F2" w14:textId="1E19E24C" w:rsidR="00ED36CE" w:rsidRPr="00442824" w:rsidRDefault="00ED36CE"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 xml:space="preserve">En este contexto, las tasas de interés internacionales permanecen relativamente altas en comparación con el período prepandemia, aunque algunos bancos centrales han comenzado procesos graduales de flexibilización monetaria para estimular la inversión y el consumo. El FMI y la OCDE advierten que una reducción prematura de tasas podría generar nuevos episodios inflacionarios y afectar la estabilidad financiera global. </w:t>
      </w:r>
    </w:p>
    <w:p w14:paraId="620B3282" w14:textId="77777777" w:rsidR="00ED36CE" w:rsidRPr="00442824" w:rsidRDefault="00ED36CE" w:rsidP="00442824">
      <w:pPr>
        <w:pStyle w:val="NormalWeb"/>
        <w:spacing w:before="0" w:beforeAutospacing="0" w:after="0" w:afterAutospacing="0"/>
        <w:jc w:val="both"/>
        <w:rPr>
          <w:rFonts w:ascii="Garamond" w:hAnsi="Garamond"/>
          <w:sz w:val="22"/>
          <w:szCs w:val="22"/>
        </w:rPr>
      </w:pPr>
    </w:p>
    <w:p w14:paraId="646F4175" w14:textId="77777777" w:rsidR="00110A1D" w:rsidRPr="00442824" w:rsidRDefault="00ED36CE"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Por su parte, las economías emergentes enfrentan mayores desafíos debido a la volatilidad cambiaria, altos costos de financiamiento externo y mayores niveles de endeudamiento. En América Latina, varios países mantienen tasas de interés elevadas para controlar la inflación y proteger la estabilidad monetaria, aunque esto limita el crecimiento económico y la inversión productiva.</w:t>
      </w:r>
    </w:p>
    <w:p w14:paraId="1B2F1A2B" w14:textId="77777777" w:rsidR="00110A1D" w:rsidRPr="00442824" w:rsidRDefault="00110A1D" w:rsidP="00442824">
      <w:pPr>
        <w:pStyle w:val="NormalWeb"/>
        <w:spacing w:before="0" w:beforeAutospacing="0" w:after="0" w:afterAutospacing="0"/>
        <w:jc w:val="both"/>
        <w:rPr>
          <w:rFonts w:ascii="Garamond" w:hAnsi="Garamond"/>
          <w:sz w:val="22"/>
          <w:szCs w:val="22"/>
        </w:rPr>
      </w:pPr>
    </w:p>
    <w:p w14:paraId="1A29AE6B" w14:textId="6DEA7F56" w:rsidR="00ED36CE" w:rsidRPr="00442824" w:rsidRDefault="00ED36CE"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 xml:space="preserve">El Banco Mundial y otros organismos multilaterales señalan que el comportamiento de la inflación y de las tasas de interés seguirá siendo uno de los principales factores que determinarán el desempeño económico mundial en 2026, especialmente en un entorno marcado por incertidumbre geopolítica, transición energética y transformación tecnológica. </w:t>
      </w:r>
    </w:p>
    <w:p w14:paraId="75F3395E" w14:textId="77777777" w:rsidR="00110A1D" w:rsidRPr="00442824" w:rsidRDefault="00110A1D" w:rsidP="00442824">
      <w:pPr>
        <w:pStyle w:val="NormalWeb"/>
        <w:spacing w:before="0" w:beforeAutospacing="0" w:after="0" w:afterAutospacing="0"/>
        <w:jc w:val="both"/>
        <w:rPr>
          <w:rFonts w:ascii="Garamond" w:hAnsi="Garamond"/>
          <w:sz w:val="22"/>
          <w:szCs w:val="22"/>
        </w:rPr>
      </w:pPr>
    </w:p>
    <w:p w14:paraId="5823F177" w14:textId="77777777" w:rsidR="00110A1D" w:rsidRPr="00C04E95" w:rsidRDefault="00110A1D" w:rsidP="00442824">
      <w:pPr>
        <w:pStyle w:val="NormalWeb"/>
        <w:spacing w:before="0" w:beforeAutospacing="0" w:after="0" w:afterAutospacing="0"/>
        <w:jc w:val="both"/>
        <w:rPr>
          <w:rFonts w:ascii="Garamond" w:hAnsi="Garamond"/>
          <w:b/>
          <w:bCs/>
          <w:sz w:val="22"/>
          <w:szCs w:val="22"/>
        </w:rPr>
      </w:pPr>
    </w:p>
    <w:p w14:paraId="7C14C42C" w14:textId="4C51EEAD" w:rsidR="004051D4" w:rsidRPr="00C04E95" w:rsidRDefault="004051D4" w:rsidP="00442824">
      <w:pPr>
        <w:pStyle w:val="NormalWeb"/>
        <w:spacing w:before="0" w:beforeAutospacing="0" w:after="0" w:afterAutospacing="0"/>
        <w:jc w:val="both"/>
        <w:rPr>
          <w:rFonts w:ascii="Garamond" w:hAnsi="Garamond"/>
          <w:b/>
          <w:bCs/>
          <w:sz w:val="22"/>
          <w:szCs w:val="22"/>
        </w:rPr>
      </w:pPr>
      <w:r w:rsidRPr="00C04E95">
        <w:rPr>
          <w:rFonts w:ascii="Garamond" w:hAnsi="Garamond"/>
          <w:b/>
          <w:bCs/>
          <w:sz w:val="22"/>
          <w:szCs w:val="22"/>
        </w:rPr>
        <w:t>Tensiones geopolíticas y su impacto económico</w:t>
      </w:r>
    </w:p>
    <w:p w14:paraId="7E3E3D95" w14:textId="77777777" w:rsidR="00C07507" w:rsidRPr="00442824" w:rsidRDefault="00C07507" w:rsidP="00442824">
      <w:pPr>
        <w:pStyle w:val="NormalWeb"/>
        <w:spacing w:before="0" w:beforeAutospacing="0" w:after="0" w:afterAutospacing="0"/>
        <w:jc w:val="both"/>
        <w:rPr>
          <w:rFonts w:ascii="Garamond" w:hAnsi="Garamond"/>
          <w:sz w:val="22"/>
          <w:szCs w:val="22"/>
        </w:rPr>
      </w:pPr>
    </w:p>
    <w:p w14:paraId="30812B8A" w14:textId="77777777" w:rsidR="009B5A87" w:rsidRPr="00442824" w:rsidRDefault="009B5A87" w:rsidP="00442824">
      <w:pPr>
        <w:pStyle w:val="NormalWeb"/>
        <w:spacing w:before="0" w:beforeAutospacing="0" w:after="0" w:afterAutospacing="0"/>
        <w:jc w:val="both"/>
        <w:rPr>
          <w:rFonts w:ascii="Garamond" w:hAnsi="Garamond"/>
          <w:sz w:val="22"/>
          <w:szCs w:val="22"/>
        </w:rPr>
      </w:pPr>
      <w:r w:rsidRPr="00442824">
        <w:rPr>
          <w:rFonts w:ascii="Garamond" w:hAnsi="Garamond"/>
          <w:sz w:val="22"/>
          <w:szCs w:val="22"/>
        </w:rPr>
        <w:t>Tras haber resistido al aumento de las barreras comerciales y la incertidumbre el año pasado, la actividad mundial enfrenta ahora la dura prueba del estallido de la guerra en Oriente Medio. Bajo el supuesto de que el conflicto siga siendo de duración y alcance limitados, se proyecta que el crecimiento mundial se desacelere hasta el 3,1% en 2026 y el 3,2% en 2027. Para 2026 se proyecta un leve aumento de la inflación general, que volvería a descender en 2027. Se prevé que la desaceleración del crecimiento y el aumento de la inflación sean especialmente pronunciados en las economías de mercados emergentes y en desarrollo.</w:t>
      </w:r>
    </w:p>
    <w:p w14:paraId="743DA412" w14:textId="03472A3A" w:rsidR="009B5A87" w:rsidRPr="00442824" w:rsidRDefault="009B5A87" w:rsidP="00442824">
      <w:pPr>
        <w:pStyle w:val="NormalWeb"/>
        <w:numPr>
          <w:ilvl w:val="0"/>
          <w:numId w:val="34"/>
        </w:numPr>
        <w:shd w:val="clear" w:color="auto" w:fill="FFFFFF"/>
        <w:spacing w:before="240" w:beforeAutospacing="0" w:after="240" w:afterAutospacing="0"/>
        <w:jc w:val="both"/>
        <w:rPr>
          <w:rFonts w:ascii="Garamond" w:hAnsi="Garamond"/>
          <w:sz w:val="22"/>
          <w:szCs w:val="22"/>
        </w:rPr>
      </w:pPr>
      <w:r w:rsidRPr="00442824">
        <w:rPr>
          <w:rFonts w:ascii="Garamond" w:hAnsi="Garamond"/>
          <w:sz w:val="22"/>
          <w:szCs w:val="22"/>
        </w:rPr>
        <w:t>Los riesgos desfavorables dominan las perspectivas. Un conflicto más prolongado o más amplio, el agravamiento de la fragmentación geopolítica, un reajuste de las expectativas acerca de la productividad impulsada por la inteligencia artificial o nuevas tensiones comerciales podrían debilitar notablemente el crecimiento y desestabilizar los mercados financieros. El elevado nivel de deuda pública y la pérdida de credibilidad institucional acentúan las vulnerabilidades. Pero la actividad económica podría repuntar si el aumento de la productividad gracias a la inteligencia artificial se materializa más pronto o si las tensiones comerciales se reducen de forma sostenida.</w:t>
      </w:r>
    </w:p>
    <w:p w14:paraId="3E95D848" w14:textId="1ACBAF2F" w:rsidR="004051D4" w:rsidRPr="00C04E95" w:rsidRDefault="004051D4" w:rsidP="005A6698">
      <w:pPr>
        <w:pStyle w:val="Ttulo3"/>
        <w:numPr>
          <w:ilvl w:val="1"/>
          <w:numId w:val="8"/>
        </w:numPr>
        <w:ind w:left="1440" w:hanging="360"/>
        <w:jc w:val="both"/>
        <w:rPr>
          <w:rFonts w:ascii="Garamond" w:eastAsia="Times New Roman" w:hAnsi="Garamond" w:cs="Times New Roman"/>
          <w:b/>
          <w:bCs/>
          <w:color w:val="auto"/>
          <w:sz w:val="22"/>
          <w:szCs w:val="22"/>
        </w:rPr>
      </w:pPr>
      <w:r w:rsidRPr="00C04E95">
        <w:rPr>
          <w:rFonts w:ascii="Garamond" w:eastAsia="Times New Roman" w:hAnsi="Garamond" w:cs="Times New Roman"/>
          <w:b/>
          <w:bCs/>
          <w:color w:val="auto"/>
          <w:sz w:val="22"/>
          <w:szCs w:val="22"/>
        </w:rPr>
        <w:t>Desigualdad y pobreza</w:t>
      </w:r>
    </w:p>
    <w:p w14:paraId="130C5945" w14:textId="77777777" w:rsidR="00442824" w:rsidRPr="00442824" w:rsidRDefault="00442824" w:rsidP="00442824"/>
    <w:p w14:paraId="471C6D90" w14:textId="0367608E" w:rsidR="00787D7C" w:rsidRPr="00442824" w:rsidRDefault="00787D7C" w:rsidP="00442824">
      <w:pPr>
        <w:pStyle w:val="NormalWeb"/>
        <w:numPr>
          <w:ilvl w:val="0"/>
          <w:numId w:val="34"/>
        </w:numPr>
        <w:spacing w:before="0" w:beforeAutospacing="0" w:after="0" w:afterAutospacing="0"/>
        <w:jc w:val="both"/>
        <w:rPr>
          <w:rFonts w:ascii="Garamond" w:hAnsi="Garamond"/>
          <w:sz w:val="22"/>
          <w:szCs w:val="22"/>
        </w:rPr>
      </w:pPr>
      <w:r w:rsidRPr="00442824">
        <w:rPr>
          <w:rFonts w:ascii="Garamond" w:hAnsi="Garamond"/>
          <w:sz w:val="22"/>
          <w:szCs w:val="22"/>
        </w:rPr>
        <w:t>De acuerdo con el Fondo Monetario Internacional (FMI), la desigualdad y la pobreza continúan siendo desafíos estructurales relevantes para la economía mundial en 2026, especialmente en los países de bajos y medianos ingresos. Aunque la economía global mantiene un crecimiento moderado, los beneficios de la recuperación económica siguen distribuyéndose de manera desigual entre regiones, sectores y grupos poblacionales.</w:t>
      </w:r>
    </w:p>
    <w:p w14:paraId="2FEFDDE9" w14:textId="77777777" w:rsidR="00787D7C" w:rsidRPr="00442824" w:rsidRDefault="00787D7C" w:rsidP="00442824">
      <w:pPr>
        <w:pStyle w:val="NormalWeb"/>
        <w:spacing w:before="0" w:beforeAutospacing="0" w:after="0" w:afterAutospacing="0"/>
        <w:jc w:val="both"/>
        <w:rPr>
          <w:rFonts w:ascii="Garamond" w:hAnsi="Garamond"/>
          <w:sz w:val="22"/>
          <w:szCs w:val="22"/>
        </w:rPr>
      </w:pPr>
    </w:p>
    <w:p w14:paraId="54414B9A" w14:textId="77777777" w:rsidR="00787D7C" w:rsidRPr="00442824" w:rsidRDefault="00787D7C" w:rsidP="00442824">
      <w:pPr>
        <w:pStyle w:val="NormalWeb"/>
        <w:numPr>
          <w:ilvl w:val="0"/>
          <w:numId w:val="34"/>
        </w:numPr>
        <w:spacing w:before="0" w:beforeAutospacing="0" w:after="0" w:afterAutospacing="0"/>
        <w:jc w:val="both"/>
        <w:rPr>
          <w:rFonts w:ascii="Garamond" w:hAnsi="Garamond"/>
          <w:sz w:val="22"/>
          <w:szCs w:val="22"/>
        </w:rPr>
      </w:pPr>
      <w:r w:rsidRPr="00442824">
        <w:rPr>
          <w:rFonts w:ascii="Garamond" w:hAnsi="Garamond"/>
          <w:sz w:val="22"/>
          <w:szCs w:val="22"/>
        </w:rPr>
        <w:t>El FMI señala que los efectos acumulados de la pandemia, la inflación persistente y el aumento en el costo de vida han afectado con mayor intensidad a los hogares de menores ingresos. El incremento en los precios de alimentos, energía y servicios básicos ha reducido el poder adquisitivo de millones de personas, ampliando las brechas sociales y económicas en numerosos países.</w:t>
      </w:r>
    </w:p>
    <w:p w14:paraId="67FE2BBC" w14:textId="77777777" w:rsidR="00787D7C" w:rsidRPr="00442824" w:rsidRDefault="00787D7C" w:rsidP="00442824">
      <w:pPr>
        <w:pStyle w:val="Prrafodelista"/>
        <w:jc w:val="both"/>
        <w:rPr>
          <w:rFonts w:ascii="Garamond" w:hAnsi="Garamond"/>
        </w:rPr>
      </w:pPr>
    </w:p>
    <w:p w14:paraId="51A68A8C" w14:textId="468790C6" w:rsidR="00C13BED" w:rsidRDefault="00787D7C" w:rsidP="00C13BED">
      <w:pPr>
        <w:pStyle w:val="NormalWeb"/>
        <w:numPr>
          <w:ilvl w:val="0"/>
          <w:numId w:val="34"/>
        </w:numPr>
        <w:spacing w:before="0" w:beforeAutospacing="0" w:after="0" w:afterAutospacing="0"/>
        <w:jc w:val="both"/>
        <w:rPr>
          <w:rFonts w:ascii="Garamond" w:hAnsi="Garamond"/>
          <w:sz w:val="22"/>
          <w:szCs w:val="22"/>
        </w:rPr>
      </w:pPr>
      <w:r w:rsidRPr="00442824">
        <w:rPr>
          <w:rFonts w:ascii="Garamond" w:hAnsi="Garamond"/>
          <w:sz w:val="22"/>
          <w:szCs w:val="22"/>
        </w:rPr>
        <w:t xml:space="preserve">Asimismo, el organismo advierte que las altas tasas de interés y las condiciones financieras restrictivas han limitado la capacidad de los gobiernos para implementar políticas sociales expansivas y programas de inversión pública orientados a reducir la pobreza y fortalecer el empleo. Esta situación afecta especialmente a las economías emergentes y en desarrollo con altos niveles de endeudamiento. </w:t>
      </w:r>
    </w:p>
    <w:p w14:paraId="2D09D009" w14:textId="77777777" w:rsidR="00C13BED" w:rsidRDefault="00C13BED" w:rsidP="00C13BED">
      <w:pPr>
        <w:pStyle w:val="Prrafodelista"/>
        <w:rPr>
          <w:rFonts w:ascii="Garamond" w:hAnsi="Garamond"/>
        </w:rPr>
      </w:pPr>
    </w:p>
    <w:p w14:paraId="59C9C7FB" w14:textId="77777777" w:rsidR="00C13BED" w:rsidRPr="00C13BED" w:rsidRDefault="00C13BED" w:rsidP="00C13BED">
      <w:pPr>
        <w:pStyle w:val="NormalWeb"/>
        <w:spacing w:before="0" w:beforeAutospacing="0" w:after="0" w:afterAutospacing="0"/>
        <w:ind w:left="720"/>
        <w:jc w:val="both"/>
        <w:rPr>
          <w:rFonts w:ascii="Garamond" w:hAnsi="Garamond"/>
          <w:sz w:val="22"/>
          <w:szCs w:val="22"/>
        </w:rPr>
      </w:pPr>
    </w:p>
    <w:p w14:paraId="132E5C5D" w14:textId="77777777" w:rsidR="00787D7C" w:rsidRPr="00442824" w:rsidRDefault="00787D7C" w:rsidP="00442824">
      <w:pPr>
        <w:pStyle w:val="NormalWeb"/>
        <w:numPr>
          <w:ilvl w:val="0"/>
          <w:numId w:val="34"/>
        </w:numPr>
        <w:spacing w:before="0" w:beforeAutospacing="0" w:after="0" w:afterAutospacing="0"/>
        <w:jc w:val="both"/>
        <w:rPr>
          <w:rFonts w:ascii="Garamond" w:hAnsi="Garamond"/>
          <w:sz w:val="22"/>
          <w:szCs w:val="22"/>
        </w:rPr>
      </w:pPr>
      <w:r w:rsidRPr="00442824">
        <w:rPr>
          <w:rFonts w:ascii="Garamond" w:hAnsi="Garamond"/>
          <w:sz w:val="22"/>
          <w:szCs w:val="22"/>
        </w:rPr>
        <w:lastRenderedPageBreak/>
        <w:t xml:space="preserve">El FMI también destaca que la desigualdad en el acceso a educación, salud, tecnología y empleo formal continúa representando un obstáculo para el crecimiento inclusivo y sostenible. En muchas economías, la transformación digital y los cambios tecnológicos han generado oportunidades de productividad, pero también riesgos de exclusión laboral para trabajadores con menores niveles de capacitación. </w:t>
      </w:r>
    </w:p>
    <w:p w14:paraId="749A078A" w14:textId="77777777" w:rsidR="00787D7C" w:rsidRPr="00442824" w:rsidRDefault="00787D7C" w:rsidP="00442824">
      <w:pPr>
        <w:pStyle w:val="Prrafodelista"/>
        <w:jc w:val="both"/>
        <w:rPr>
          <w:rFonts w:ascii="Garamond" w:hAnsi="Garamond"/>
        </w:rPr>
      </w:pPr>
    </w:p>
    <w:p w14:paraId="31A7FA10" w14:textId="77777777" w:rsidR="00787D7C" w:rsidRPr="00442824" w:rsidRDefault="00787D7C" w:rsidP="00442824">
      <w:pPr>
        <w:pStyle w:val="NormalWeb"/>
        <w:numPr>
          <w:ilvl w:val="0"/>
          <w:numId w:val="34"/>
        </w:numPr>
        <w:spacing w:before="0" w:beforeAutospacing="0" w:after="0" w:afterAutospacing="0"/>
        <w:jc w:val="both"/>
        <w:rPr>
          <w:rFonts w:ascii="Garamond" w:hAnsi="Garamond"/>
          <w:sz w:val="22"/>
          <w:szCs w:val="22"/>
        </w:rPr>
      </w:pPr>
      <w:r w:rsidRPr="00442824">
        <w:rPr>
          <w:rFonts w:ascii="Garamond" w:hAnsi="Garamond"/>
          <w:sz w:val="22"/>
          <w:szCs w:val="22"/>
        </w:rPr>
        <w:t>En este contexto, el Fondo Monetario Internacional recomienda fortalecer políticas públicas orientadas a la protección social, la inversión en capital humano, la inclusión financiera y la generación de empleo productivo. El organismo enfatiza que reducir la desigualdad no solo tiene efectos sociales positivos, sino que también contribuye a mejorar la estabilidad macroeconómica y el crecimiento de largo plazo.</w:t>
      </w:r>
    </w:p>
    <w:p w14:paraId="14310524" w14:textId="77777777" w:rsidR="00787D7C" w:rsidRPr="00442824" w:rsidRDefault="00787D7C" w:rsidP="00442824">
      <w:pPr>
        <w:pStyle w:val="Prrafodelista"/>
        <w:jc w:val="both"/>
        <w:rPr>
          <w:rFonts w:ascii="Garamond" w:hAnsi="Garamond"/>
        </w:rPr>
      </w:pPr>
    </w:p>
    <w:p w14:paraId="62504957" w14:textId="7F40DE49" w:rsidR="004051D4" w:rsidRPr="00442824" w:rsidRDefault="00787D7C" w:rsidP="00442824">
      <w:pPr>
        <w:pStyle w:val="NormalWeb"/>
        <w:numPr>
          <w:ilvl w:val="0"/>
          <w:numId w:val="34"/>
        </w:numPr>
        <w:spacing w:before="0" w:beforeAutospacing="0" w:after="0" w:afterAutospacing="0"/>
        <w:jc w:val="both"/>
        <w:rPr>
          <w:rFonts w:ascii="Garamond" w:hAnsi="Garamond"/>
          <w:sz w:val="22"/>
          <w:szCs w:val="22"/>
        </w:rPr>
      </w:pPr>
      <w:r w:rsidRPr="00442824">
        <w:rPr>
          <w:rFonts w:ascii="Garamond" w:hAnsi="Garamond"/>
          <w:sz w:val="22"/>
          <w:szCs w:val="22"/>
        </w:rPr>
        <w:t>Finalmente, el FMI advierte que, sin reformas estructurales y estrategias de crecimiento inclusivo, la persistencia de elevados niveles de desigualdad y pobreza podría aumentar las tensiones sociales, debilitar la cohesión económica y limitar el potencial de desarrollo de numerosos países durante los próximos años.</w:t>
      </w:r>
    </w:p>
    <w:p w14:paraId="70746732" w14:textId="77777777" w:rsidR="00787D7C" w:rsidRPr="00442824" w:rsidRDefault="00787D7C" w:rsidP="00442824">
      <w:pPr>
        <w:pStyle w:val="Prrafodelista"/>
        <w:jc w:val="both"/>
        <w:rPr>
          <w:rFonts w:ascii="Garamond" w:hAnsi="Garamond"/>
        </w:rPr>
      </w:pPr>
    </w:p>
    <w:p w14:paraId="769C97B1" w14:textId="77777777" w:rsidR="00787D7C" w:rsidRPr="00442824" w:rsidRDefault="00787D7C" w:rsidP="00442824">
      <w:pPr>
        <w:pStyle w:val="NormalWeb"/>
        <w:spacing w:before="0" w:beforeAutospacing="0" w:after="0" w:afterAutospacing="0"/>
        <w:ind w:left="720"/>
        <w:jc w:val="both"/>
        <w:rPr>
          <w:rFonts w:ascii="Garamond" w:hAnsi="Garamond"/>
          <w:sz w:val="22"/>
          <w:szCs w:val="22"/>
        </w:rPr>
      </w:pPr>
    </w:p>
    <w:p w14:paraId="3D1A7748" w14:textId="032C0E5E" w:rsidR="004051D4" w:rsidRPr="00C04E95" w:rsidRDefault="004051D4" w:rsidP="00442824">
      <w:pPr>
        <w:pStyle w:val="Ttulo3"/>
        <w:numPr>
          <w:ilvl w:val="1"/>
          <w:numId w:val="8"/>
        </w:numPr>
        <w:ind w:left="1440" w:hanging="360"/>
        <w:jc w:val="both"/>
        <w:rPr>
          <w:rFonts w:ascii="Garamond" w:eastAsia="Times New Roman" w:hAnsi="Garamond" w:cs="Times New Roman"/>
          <w:b/>
          <w:bCs/>
          <w:color w:val="auto"/>
          <w:sz w:val="22"/>
          <w:szCs w:val="22"/>
        </w:rPr>
      </w:pPr>
      <w:r w:rsidRPr="00C04E95">
        <w:rPr>
          <w:rFonts w:ascii="Garamond" w:eastAsia="Times New Roman" w:hAnsi="Garamond" w:cs="Times New Roman"/>
          <w:b/>
          <w:bCs/>
          <w:color w:val="auto"/>
          <w:sz w:val="22"/>
          <w:szCs w:val="22"/>
        </w:rPr>
        <w:t>Tecnología e inteligencia artificial</w:t>
      </w:r>
    </w:p>
    <w:p w14:paraId="4C2FE372" w14:textId="77777777" w:rsidR="00787D7C" w:rsidRPr="00442824" w:rsidRDefault="00787D7C" w:rsidP="00442824">
      <w:pPr>
        <w:jc w:val="both"/>
        <w:rPr>
          <w:rFonts w:ascii="Garamond" w:hAnsi="Garamond"/>
        </w:rPr>
      </w:pPr>
    </w:p>
    <w:p w14:paraId="734DEA6E" w14:textId="257605F6" w:rsidR="00787D7C" w:rsidRPr="00442824" w:rsidRDefault="00787D7C" w:rsidP="00442824">
      <w:pPr>
        <w:pStyle w:val="NormalWeb"/>
        <w:numPr>
          <w:ilvl w:val="0"/>
          <w:numId w:val="34"/>
        </w:numPr>
        <w:spacing w:before="0" w:beforeAutospacing="0" w:after="0" w:afterAutospacing="0"/>
        <w:jc w:val="both"/>
        <w:rPr>
          <w:rFonts w:ascii="Garamond" w:hAnsi="Garamond"/>
          <w:sz w:val="22"/>
          <w:szCs w:val="22"/>
        </w:rPr>
      </w:pPr>
      <w:r w:rsidRPr="00442824">
        <w:rPr>
          <w:rFonts w:ascii="Garamond" w:hAnsi="Garamond"/>
          <w:sz w:val="22"/>
          <w:szCs w:val="22"/>
        </w:rPr>
        <w:t>De acuerdo con el Fondo Monetario Internacional (FMI), la tecnología y la inteligencia artificial (IA) se han consolidado en 2026 como factores clave de transformación económica mundial, con efectos significativos sobre la productividad, el empleo, la competitividad y el crecimiento de largo plazo. El organismo señala que la rápida expansión de la digitalización y de las herramientas basadas en inteligencia artificial está redefiniendo los modelos de producción y las dinámicas del mercado laboral a nivel global.</w:t>
      </w:r>
    </w:p>
    <w:p w14:paraId="3BCF63F1" w14:textId="77777777" w:rsidR="00442824" w:rsidRPr="00442824" w:rsidRDefault="00442824" w:rsidP="00442824">
      <w:pPr>
        <w:pStyle w:val="NormalWeb"/>
        <w:spacing w:before="0" w:beforeAutospacing="0" w:after="0" w:afterAutospacing="0"/>
        <w:ind w:left="720"/>
        <w:jc w:val="both"/>
        <w:rPr>
          <w:rFonts w:ascii="Garamond" w:hAnsi="Garamond"/>
          <w:sz w:val="22"/>
          <w:szCs w:val="22"/>
        </w:rPr>
      </w:pPr>
    </w:p>
    <w:p w14:paraId="0F2762BE" w14:textId="2EC06C68" w:rsidR="00787D7C" w:rsidRPr="00442824" w:rsidRDefault="00787D7C" w:rsidP="00442824">
      <w:pPr>
        <w:pStyle w:val="NormalWeb"/>
        <w:numPr>
          <w:ilvl w:val="0"/>
          <w:numId w:val="34"/>
        </w:numPr>
        <w:spacing w:before="0" w:beforeAutospacing="0" w:after="0" w:afterAutospacing="0"/>
        <w:jc w:val="both"/>
        <w:rPr>
          <w:rFonts w:ascii="Garamond" w:hAnsi="Garamond"/>
          <w:sz w:val="22"/>
          <w:szCs w:val="22"/>
        </w:rPr>
      </w:pPr>
      <w:r w:rsidRPr="00442824">
        <w:rPr>
          <w:rFonts w:ascii="Garamond" w:hAnsi="Garamond"/>
          <w:sz w:val="22"/>
          <w:szCs w:val="22"/>
        </w:rPr>
        <w:t xml:space="preserve">El FMI destaca que la inteligencia artificial tiene el potencial de aumentar la productividad y estimular la innovación en sectores como manufactura, servicios financieros, salud, educación y logística. Sin embargo, advierte que sus beneficios económicos podrían distribuirse de manera desigual entre países y grupos sociales, ampliando brechas de ingreso y desarrollo si no se implementan políticas adecuadas de inclusión y capacitación laboral. </w:t>
      </w:r>
    </w:p>
    <w:p w14:paraId="270BAA80" w14:textId="77777777" w:rsidR="00442824" w:rsidRPr="00442824" w:rsidRDefault="00442824" w:rsidP="00442824">
      <w:pPr>
        <w:pStyle w:val="NormalWeb"/>
        <w:spacing w:before="0" w:beforeAutospacing="0" w:after="0" w:afterAutospacing="0"/>
        <w:jc w:val="both"/>
        <w:rPr>
          <w:rFonts w:ascii="Garamond" w:hAnsi="Garamond"/>
          <w:sz w:val="22"/>
          <w:szCs w:val="22"/>
        </w:rPr>
      </w:pPr>
    </w:p>
    <w:p w14:paraId="7503D256" w14:textId="7ADBC5F8" w:rsidR="00787D7C" w:rsidRPr="00442824" w:rsidRDefault="00787D7C" w:rsidP="00442824">
      <w:pPr>
        <w:pStyle w:val="NormalWeb"/>
        <w:numPr>
          <w:ilvl w:val="0"/>
          <w:numId w:val="34"/>
        </w:numPr>
        <w:spacing w:before="0" w:beforeAutospacing="0" w:after="0" w:afterAutospacing="0"/>
        <w:jc w:val="both"/>
        <w:rPr>
          <w:rFonts w:ascii="Garamond" w:hAnsi="Garamond"/>
          <w:sz w:val="22"/>
          <w:szCs w:val="22"/>
        </w:rPr>
      </w:pPr>
      <w:r w:rsidRPr="00442824">
        <w:rPr>
          <w:rFonts w:ascii="Garamond" w:hAnsi="Garamond"/>
          <w:sz w:val="22"/>
          <w:szCs w:val="22"/>
        </w:rPr>
        <w:t>Asimismo, el organismo estima que una proporción importante de los empleos a nivel mundial estará expuesta a procesos de automatización y transformación tecnológica durante los próximos años. Las economías avanzadas presentan una mayor exposición debido a su alto nivel de digitalización, aunque también cuentan con mayores capacidades de adaptación e inversión en innovación. En contraste, muchos países emergentes enfrentan mayores riesgos asociados a brechas tecnológicas y limitaciones en capital humano.</w:t>
      </w:r>
    </w:p>
    <w:p w14:paraId="5C46AF9B" w14:textId="77777777" w:rsidR="00442824" w:rsidRPr="00442824" w:rsidRDefault="00442824" w:rsidP="00442824">
      <w:pPr>
        <w:pStyle w:val="NormalWeb"/>
        <w:spacing w:before="0" w:beforeAutospacing="0" w:after="0" w:afterAutospacing="0"/>
        <w:ind w:left="720"/>
        <w:jc w:val="both"/>
        <w:rPr>
          <w:rFonts w:ascii="Garamond" w:hAnsi="Garamond"/>
          <w:sz w:val="22"/>
          <w:szCs w:val="22"/>
        </w:rPr>
      </w:pPr>
    </w:p>
    <w:p w14:paraId="54A5AB23" w14:textId="77777777" w:rsidR="00C13BED" w:rsidRDefault="00787D7C" w:rsidP="00442824">
      <w:pPr>
        <w:pStyle w:val="NormalWeb"/>
        <w:numPr>
          <w:ilvl w:val="0"/>
          <w:numId w:val="34"/>
        </w:numPr>
        <w:spacing w:before="0" w:beforeAutospacing="0" w:after="0" w:afterAutospacing="0"/>
        <w:jc w:val="both"/>
        <w:rPr>
          <w:rFonts w:ascii="Garamond" w:hAnsi="Garamond"/>
          <w:sz w:val="22"/>
          <w:szCs w:val="22"/>
        </w:rPr>
      </w:pPr>
      <w:r w:rsidRPr="00442824">
        <w:rPr>
          <w:rFonts w:ascii="Garamond" w:hAnsi="Garamond"/>
          <w:sz w:val="22"/>
          <w:szCs w:val="22"/>
        </w:rPr>
        <w:t>El FMI también señala que la inteligencia artificial puede contribuir al crecimiento económico global mediante mejoras en eficiencia, optimización de procesos y reducción de costos operativos. No obstante, advierte que la falta de regulación, los riesgos de ciberseguridad y la concentración tecnológica en pocas empresas podrían generar desafíos para la estabilidad económica y la competencia internacional.</w:t>
      </w:r>
    </w:p>
    <w:p w14:paraId="72A34BA2" w14:textId="77777777" w:rsidR="00C13BED" w:rsidRDefault="00C13BED" w:rsidP="00C13BED">
      <w:pPr>
        <w:pStyle w:val="Prrafodelista"/>
        <w:rPr>
          <w:rFonts w:ascii="Garamond" w:hAnsi="Garamond"/>
        </w:rPr>
      </w:pPr>
    </w:p>
    <w:p w14:paraId="2EA919BD" w14:textId="6C7EB9AA" w:rsidR="00787D7C" w:rsidRPr="00442824" w:rsidRDefault="00787D7C" w:rsidP="00C13BED">
      <w:pPr>
        <w:pStyle w:val="NormalWeb"/>
        <w:spacing w:before="0" w:beforeAutospacing="0" w:after="0" w:afterAutospacing="0"/>
        <w:ind w:left="720"/>
        <w:jc w:val="both"/>
        <w:rPr>
          <w:rFonts w:ascii="Garamond" w:hAnsi="Garamond"/>
          <w:sz w:val="22"/>
          <w:szCs w:val="22"/>
        </w:rPr>
      </w:pPr>
      <w:r w:rsidRPr="00442824">
        <w:rPr>
          <w:rFonts w:ascii="Garamond" w:hAnsi="Garamond"/>
          <w:sz w:val="22"/>
          <w:szCs w:val="22"/>
        </w:rPr>
        <w:t xml:space="preserve"> </w:t>
      </w:r>
    </w:p>
    <w:p w14:paraId="24465DFA" w14:textId="77777777" w:rsidR="004051D4" w:rsidRPr="00BF757C" w:rsidRDefault="004051D4" w:rsidP="005A6698">
      <w:pPr>
        <w:pStyle w:val="NormalWeb"/>
        <w:numPr>
          <w:ilvl w:val="0"/>
          <w:numId w:val="8"/>
        </w:numPr>
        <w:jc w:val="both"/>
        <w:rPr>
          <w:rFonts w:ascii="Garamond" w:hAnsi="Garamond"/>
          <w:b/>
          <w:bCs/>
        </w:rPr>
      </w:pPr>
      <w:r w:rsidRPr="00BF757C">
        <w:rPr>
          <w:rFonts w:ascii="Garamond" w:hAnsi="Garamond"/>
          <w:b/>
          <w:bCs/>
        </w:rPr>
        <w:lastRenderedPageBreak/>
        <w:t>ANALISIS DEL SECTOR SEGÚN EL DANE.</w:t>
      </w:r>
    </w:p>
    <w:p w14:paraId="3A9004D4" w14:textId="77777777" w:rsidR="004051D4" w:rsidRPr="00BF757C" w:rsidRDefault="004051D4" w:rsidP="004051D4">
      <w:pPr>
        <w:jc w:val="both"/>
        <w:rPr>
          <w:rFonts w:ascii="Garamond" w:hAnsi="Garamond"/>
        </w:rPr>
      </w:pPr>
      <w:r w:rsidRPr="00BF757C">
        <w:rPr>
          <w:rFonts w:ascii="Garamond" w:hAnsi="Garamond"/>
        </w:rPr>
        <w:t>El Departamento Administrativo Nacional de Estadística (DANE) es la entidad encargada de la planeación, levantamiento, procesamiento, análisis y difusión de las estadísticas oficiales de Colombia. Su análisis sectorial abarca diversos aspectos, como el comportamiento económico, la ejecución presupuestaria y la evolución de los sectores institucionales.</w:t>
      </w:r>
    </w:p>
    <w:p w14:paraId="42161E05" w14:textId="77777777" w:rsidR="004051D4" w:rsidRPr="00BF757C" w:rsidRDefault="004051D4" w:rsidP="004051D4">
      <w:pPr>
        <w:jc w:val="both"/>
        <w:rPr>
          <w:rFonts w:ascii="Garamond" w:hAnsi="Garamond"/>
        </w:rPr>
      </w:pPr>
    </w:p>
    <w:p w14:paraId="5A25CBE5" w14:textId="77777777" w:rsidR="00442824" w:rsidRPr="00442824" w:rsidRDefault="00442824" w:rsidP="00680B97">
      <w:pPr>
        <w:jc w:val="both"/>
        <w:rPr>
          <w:rFonts w:ascii="Garamond" w:hAnsi="Garamond"/>
        </w:rPr>
      </w:pPr>
      <w:r w:rsidRPr="00442824">
        <w:rPr>
          <w:rFonts w:ascii="Garamond" w:hAnsi="Garamond"/>
        </w:rPr>
        <w:t xml:space="preserve">Según el Departamento Administrativo Nacional de Estadística, en el resultado anual preliminar de las Cuentas Nacionales Trimestrales por Sector Institucional (CNTSI) correspondiente a 2025 y publicado en 2026, la economía colombiana registró un mayor endeudamiento neto, al pasar de -$33,9 billones en 2024 a -$66,6 billones en 2025, lo que representa una variación de 96,3% y una participación equivalente al 3,6% del PIB. Este comportamiento estuvo explicado principalmente por el incremento del endeudamiento del gobierno general, asociado a mayores gastos en prestaciones sociales, consumo final y formación bruta de capital. Asimismo, las sociedades no financieras mantuvieron una posición prestamista, mientras que los hogares incrementaron su capacidad de préstamo neto gracias al crecimiento de los ingresos laborales y transferencias recibidas. </w:t>
      </w:r>
    </w:p>
    <w:p w14:paraId="770BE4C8" w14:textId="6F4A026D" w:rsidR="00442824" w:rsidRDefault="00442824" w:rsidP="00680B97">
      <w:pPr>
        <w:jc w:val="both"/>
        <w:rPr>
          <w:rFonts w:ascii="Garamond" w:hAnsi="Garamond"/>
        </w:rPr>
      </w:pPr>
      <w:r w:rsidRPr="00442824">
        <w:rPr>
          <w:rFonts w:ascii="Garamond" w:hAnsi="Garamond"/>
        </w:rPr>
        <w:t xml:space="preserve">El DANE señala además que las sociedades financieras registraron un endeudamiento neto inferior al observado en 2024, impulsado por el aumento del excedente de explotación bruto y una mejora en los ingresos por renta de la propiedad. Estos resultados reflejan las dinámicas de ingreso, ahorro, inversión y financiamiento de los diferentes sectores institucionales de la economía colombiana durante 2025. </w:t>
      </w:r>
    </w:p>
    <w:p w14:paraId="054C0251" w14:textId="77777777" w:rsidR="00680B97" w:rsidRPr="00442824" w:rsidRDefault="00680B97" w:rsidP="00680B97">
      <w:pPr>
        <w:jc w:val="both"/>
        <w:rPr>
          <w:rFonts w:ascii="Garamond" w:hAnsi="Garamond"/>
        </w:rPr>
      </w:pPr>
    </w:p>
    <w:p w14:paraId="7C0B2AA2" w14:textId="77777777" w:rsidR="00680B97" w:rsidRPr="00680B97" w:rsidRDefault="00680B97" w:rsidP="00680B97">
      <w:pPr>
        <w:jc w:val="both"/>
        <w:rPr>
          <w:rFonts w:ascii="Garamond" w:hAnsi="Garamond"/>
        </w:rPr>
      </w:pPr>
      <w:r w:rsidRPr="00680B97">
        <w:rPr>
          <w:rFonts w:ascii="Garamond" w:hAnsi="Garamond"/>
        </w:rPr>
        <w:t>El sector terciario, que comprende actividades de comercio, servicios, transporte, comunicaciones, educación, salud, administración pública y entretenimiento, continúa consolidándose en 2026 como el principal motor de la economía colombiana. Este sector mantiene un crecimiento sostenido impulsado por la digitalización de los servicios, el aumento del consumo interno y la expansión de actividades basadas en conocimiento y tecnología.</w:t>
      </w:r>
    </w:p>
    <w:p w14:paraId="536F798B" w14:textId="5001947F" w:rsidR="00680B97" w:rsidRDefault="00680B97" w:rsidP="00680B97">
      <w:pPr>
        <w:jc w:val="both"/>
        <w:rPr>
          <w:rFonts w:ascii="Garamond" w:hAnsi="Garamond"/>
        </w:rPr>
      </w:pPr>
      <w:r w:rsidRPr="00680B97">
        <w:rPr>
          <w:rFonts w:ascii="Garamond" w:hAnsi="Garamond"/>
        </w:rPr>
        <w:t>De acuerdo con las Cuentas Nacionales Trimestrales por Sector Institucional del Departamento Administrativo Nacional de Estadística, el sector servicios continúa teniendo un peso predominante dentro del Producto Interno Bruto (PIB), con una participación superior al 70% de la actividad económica nacional y una alta concentración del empleo, al agrupar más del 75% de la fuerza laboral en Colombia. Durante el periodo reciente, actividades como el comercio, el transporte y almacenamiento, así como los servicios profesionales y de información, han mostrado los mayores aportes al crecimiento económico del país.</w:t>
      </w:r>
    </w:p>
    <w:p w14:paraId="67AAB961" w14:textId="77777777" w:rsidR="00680B97" w:rsidRPr="00680B97" w:rsidRDefault="00680B97" w:rsidP="00680B97">
      <w:pPr>
        <w:jc w:val="both"/>
        <w:rPr>
          <w:rFonts w:ascii="Garamond" w:hAnsi="Garamond"/>
        </w:rPr>
      </w:pPr>
    </w:p>
    <w:p w14:paraId="7696AA86" w14:textId="1B96B800" w:rsidR="00680B97" w:rsidRDefault="00680B97" w:rsidP="00C13BED">
      <w:pPr>
        <w:jc w:val="both"/>
        <w:rPr>
          <w:rFonts w:ascii="Garamond" w:hAnsi="Garamond"/>
        </w:rPr>
      </w:pPr>
      <w:r w:rsidRPr="00680B97">
        <w:rPr>
          <w:rFonts w:ascii="Garamond" w:hAnsi="Garamond"/>
        </w:rPr>
        <w:t>Asimismo, el DANE destaca que el dinamismo del sector terciario está estrechamente relacionado con el proceso de transformación digital, el crecimiento del comercio electrónico y la expansión de servicios financieros y tecnológicos. No obstante, a pesar de su relevancia en la economía interna, las exportaciones de servicios continúan representando una proporción relativamente baja dentro del total exportado por el país, lo que evidencia oportunidades de fortalecimiento en la internacionalización del sector.</w:t>
      </w:r>
    </w:p>
    <w:p w14:paraId="4C674A5F" w14:textId="77777777" w:rsidR="00680B97" w:rsidRPr="00680B97" w:rsidRDefault="00680B97" w:rsidP="00C13BED">
      <w:pPr>
        <w:jc w:val="both"/>
        <w:rPr>
          <w:rFonts w:ascii="Garamond" w:hAnsi="Garamond"/>
        </w:rPr>
      </w:pPr>
    </w:p>
    <w:p w14:paraId="1E9D7153" w14:textId="77777777" w:rsidR="00680B97" w:rsidRPr="00680B97" w:rsidRDefault="00680B97" w:rsidP="00C13BED">
      <w:pPr>
        <w:jc w:val="both"/>
        <w:rPr>
          <w:rFonts w:ascii="Garamond" w:hAnsi="Garamond"/>
        </w:rPr>
      </w:pPr>
      <w:r w:rsidRPr="00680B97">
        <w:rPr>
          <w:rFonts w:ascii="Garamond" w:hAnsi="Garamond"/>
        </w:rPr>
        <w:t xml:space="preserve">El sector terciario en Colombia continúa consolidándose en 2026 como el componente más dinámico y representativo de la economía nacional. De acuerdo con el Departamento Administrativo Nacional de Estadística, este sector ha mantenido un crecimiento sostenido en los últimos años, impulsado por la expansión de los servicios, el comercio y la digitalización de actividades económicas. </w:t>
      </w:r>
    </w:p>
    <w:p w14:paraId="48361A07" w14:textId="5F9CDFD9" w:rsidR="00680B97" w:rsidRPr="00680B97" w:rsidRDefault="00680B97" w:rsidP="00C13BED">
      <w:pPr>
        <w:jc w:val="both"/>
        <w:rPr>
          <w:rFonts w:ascii="Garamond" w:hAnsi="Garamond"/>
          <w:sz w:val="20"/>
          <w:szCs w:val="20"/>
          <w:u w:val="single"/>
        </w:rPr>
      </w:pPr>
      <w:r w:rsidRPr="00680B97">
        <w:rPr>
          <w:rFonts w:ascii="Garamond" w:hAnsi="Garamond"/>
          <w:sz w:val="20"/>
          <w:szCs w:val="20"/>
          <w:u w:val="single"/>
        </w:rPr>
        <w:t xml:space="preserve">Fuente oficial: </w:t>
      </w:r>
      <w:hyperlink r:id="rId8" w:tgtFrame="_new" w:history="1">
        <w:r w:rsidRPr="00680B97">
          <w:rPr>
            <w:rFonts w:ascii="Garamond" w:hAnsi="Garamond"/>
            <w:sz w:val="20"/>
            <w:szCs w:val="20"/>
            <w:u w:val="single"/>
          </w:rPr>
          <w:t>DANE – Cuentas Nacionales Trimestrales por Sector Institucional (CNTSI)</w:t>
        </w:r>
      </w:hyperlink>
    </w:p>
    <w:p w14:paraId="20445F80" w14:textId="77777777" w:rsidR="00680B97" w:rsidRPr="00680B97" w:rsidRDefault="00680B97" w:rsidP="00680B97">
      <w:pPr>
        <w:jc w:val="both"/>
        <w:rPr>
          <w:rFonts w:ascii="Garamond" w:hAnsi="Garamond"/>
        </w:rPr>
      </w:pPr>
    </w:p>
    <w:p w14:paraId="5E9167AA" w14:textId="77777777" w:rsidR="00680B97" w:rsidRPr="00680B97" w:rsidRDefault="00680B97" w:rsidP="00680B97">
      <w:pPr>
        <w:jc w:val="both"/>
        <w:rPr>
          <w:rFonts w:ascii="Garamond" w:hAnsi="Garamond"/>
        </w:rPr>
      </w:pPr>
      <w:r w:rsidRPr="00680B97">
        <w:rPr>
          <w:rFonts w:ascii="Garamond" w:hAnsi="Garamond"/>
        </w:rPr>
        <w:lastRenderedPageBreak/>
        <w:t>En términos estructurales, el DANE señala que el sector servicios concentra la mayor participación dentro del tejido empresarial del país, representando alrededor del 70% de la actividad económica nacional y una proporción superior al 75% del empleo total, lo que lo convierte en el principal generador de ocupación en Colombia. Dentro de este sector, actividades como comercio, transporte, alojamiento, servicios profesionales y tecnológicos tienen un papel fundamental en el crecimiento económico reciente.</w:t>
      </w:r>
    </w:p>
    <w:p w14:paraId="0B42DEE5" w14:textId="319CF499" w:rsidR="00680B97" w:rsidRDefault="00680B97" w:rsidP="00680B97">
      <w:pPr>
        <w:jc w:val="both"/>
        <w:rPr>
          <w:rFonts w:ascii="Garamond" w:hAnsi="Garamond"/>
        </w:rPr>
      </w:pPr>
      <w:r w:rsidRPr="00680B97">
        <w:rPr>
          <w:rFonts w:ascii="Garamond" w:hAnsi="Garamond"/>
        </w:rPr>
        <w:t>En el caso del comercio, este continúa siendo una de las actividades más relevantes dentro del sector terciario, con una alta participación en los establecimientos económicos del país y una fuerte dinámica asociada al consumo interno y al comercio digital. Por su parte, los servicios representan una proporción significativa de la producción del sector, especialmente en áreas como información, telecomunicaciones, servicios empresariales y actividades financieras.</w:t>
      </w:r>
    </w:p>
    <w:p w14:paraId="6D6050D2" w14:textId="77777777" w:rsidR="00680B97" w:rsidRPr="00680B97" w:rsidRDefault="00680B97" w:rsidP="00680B97">
      <w:pPr>
        <w:jc w:val="both"/>
        <w:rPr>
          <w:rFonts w:ascii="Garamond" w:hAnsi="Garamond"/>
        </w:rPr>
      </w:pPr>
    </w:p>
    <w:p w14:paraId="1F6DAD84" w14:textId="77777777" w:rsidR="00680B97" w:rsidRPr="00680B97" w:rsidRDefault="00680B97" w:rsidP="00680B97">
      <w:pPr>
        <w:jc w:val="both"/>
        <w:rPr>
          <w:rFonts w:ascii="Garamond" w:hAnsi="Garamond"/>
        </w:rPr>
      </w:pPr>
      <w:r w:rsidRPr="00680B97">
        <w:rPr>
          <w:rFonts w:ascii="Garamond" w:hAnsi="Garamond"/>
        </w:rPr>
        <w:t xml:space="preserve">En cuanto al transporte, el DANE destaca la importancia de los sistemas de movilidad en las principales ciudades del país, como el sistema </w:t>
      </w:r>
      <w:proofErr w:type="spellStart"/>
      <w:r w:rsidRPr="00680B97">
        <w:rPr>
          <w:rFonts w:ascii="Garamond" w:hAnsi="Garamond"/>
        </w:rPr>
        <w:t>TransMilenio</w:t>
      </w:r>
      <w:proofErr w:type="spellEnd"/>
      <w:r w:rsidRPr="00680B97">
        <w:rPr>
          <w:rFonts w:ascii="Garamond" w:hAnsi="Garamond"/>
        </w:rPr>
        <w:t xml:space="preserve"> en Bogotá y el Metro de Medellín, los cuales contribuyen de manera significativa a la productividad urbana y al funcionamiento de las actividades económicas.</w:t>
      </w:r>
    </w:p>
    <w:p w14:paraId="4DA66EE1" w14:textId="23096DD2" w:rsidR="00680B97" w:rsidRDefault="00680B97" w:rsidP="00680B97">
      <w:pPr>
        <w:jc w:val="both"/>
        <w:rPr>
          <w:rFonts w:ascii="Garamond" w:hAnsi="Garamond"/>
        </w:rPr>
      </w:pPr>
      <w:r w:rsidRPr="00680B97">
        <w:rPr>
          <w:rFonts w:ascii="Garamond" w:hAnsi="Garamond"/>
        </w:rPr>
        <w:t>Asimismo, según la Encuesta Mensual de Servicios de Bogotá (EMSB) del DANE, el sector servicios en la capital ha mostrado un comportamiento positivo reciente, evidenciando crecimiento en la mayoría de sus subsectores, lo que refleja la recuperación y expansión de actividades como comercio, alojamiento, transporte, servicios empresariales y tecnológicos.</w:t>
      </w:r>
    </w:p>
    <w:p w14:paraId="3BC6C990" w14:textId="77777777" w:rsidR="00680B97" w:rsidRPr="00680B97" w:rsidRDefault="00680B97" w:rsidP="00680B97">
      <w:pPr>
        <w:jc w:val="both"/>
        <w:rPr>
          <w:rFonts w:ascii="Garamond" w:hAnsi="Garamond"/>
        </w:rPr>
      </w:pPr>
    </w:p>
    <w:p w14:paraId="04F883FC" w14:textId="5FF072EC" w:rsidR="00680B97" w:rsidRPr="00680B97" w:rsidRDefault="00680B97" w:rsidP="00680B97">
      <w:pPr>
        <w:jc w:val="both"/>
        <w:rPr>
          <w:rFonts w:ascii="Garamond" w:hAnsi="Garamond"/>
        </w:rPr>
      </w:pPr>
      <w:r w:rsidRPr="00680B97">
        <w:rPr>
          <w:rFonts w:ascii="Garamond" w:hAnsi="Garamond"/>
        </w:rPr>
        <w:t>En conjunto, estos resultados evidencian que el sector terciario sigue siendo un pilar fundamental de la economía colombiana en 2026, con un papel clave en el empleo, la producción y la transformación estructural del país.</w:t>
      </w:r>
    </w:p>
    <w:p w14:paraId="2675A5FF" w14:textId="4377C5D9" w:rsidR="00680B97" w:rsidRDefault="00680B97" w:rsidP="00680B97">
      <w:pPr>
        <w:jc w:val="both"/>
        <w:rPr>
          <w:rFonts w:ascii="Garamond" w:hAnsi="Garamond"/>
          <w:sz w:val="20"/>
          <w:szCs w:val="20"/>
          <w:u w:val="single"/>
        </w:rPr>
      </w:pPr>
      <w:r w:rsidRPr="00680B97">
        <w:rPr>
          <w:rFonts w:ascii="Garamond" w:hAnsi="Garamond"/>
          <w:sz w:val="20"/>
          <w:szCs w:val="20"/>
          <w:u w:val="single"/>
        </w:rPr>
        <w:t xml:space="preserve">Fuente oficial: </w:t>
      </w:r>
      <w:hyperlink r:id="rId9" w:tgtFrame="_new" w:history="1">
        <w:r w:rsidRPr="00680B97">
          <w:rPr>
            <w:rFonts w:ascii="Garamond" w:hAnsi="Garamond"/>
            <w:sz w:val="20"/>
            <w:szCs w:val="20"/>
            <w:u w:val="single"/>
          </w:rPr>
          <w:t>DANE – Encuestas y Cuentas Nacionales</w:t>
        </w:r>
      </w:hyperlink>
    </w:p>
    <w:p w14:paraId="64EDF417" w14:textId="0F6BC5ED" w:rsidR="00004592" w:rsidRDefault="00004592" w:rsidP="00680B97">
      <w:pPr>
        <w:jc w:val="both"/>
        <w:rPr>
          <w:rFonts w:ascii="Garamond" w:hAnsi="Garamond"/>
          <w:sz w:val="20"/>
          <w:szCs w:val="20"/>
          <w:u w:val="single"/>
        </w:rPr>
      </w:pPr>
    </w:p>
    <w:p w14:paraId="3494D0E4" w14:textId="09824FF2" w:rsidR="00004592" w:rsidRPr="00C04E95" w:rsidRDefault="00004592" w:rsidP="00680B97">
      <w:pPr>
        <w:jc w:val="both"/>
        <w:rPr>
          <w:rFonts w:ascii="Garamond" w:hAnsi="Garamond"/>
        </w:rPr>
      </w:pPr>
      <w:r w:rsidRPr="00C04E95">
        <w:rPr>
          <w:rFonts w:ascii="Garamond" w:hAnsi="Garamond"/>
        </w:rPr>
        <w:t xml:space="preserve">Teniendo en cuenta que los códigos mencionados en este documento, corresponden principalmente al sector Terciario (Servicios), se muestra la información referida según la Encuesta Mensual de Servicios de Bogotá (EMSB), realizada en el mes de </w:t>
      </w:r>
      <w:r w:rsidR="00766DCF" w:rsidRPr="00C04E95">
        <w:rPr>
          <w:rFonts w:ascii="Garamond" w:hAnsi="Garamond"/>
        </w:rPr>
        <w:t>septiembre</w:t>
      </w:r>
      <w:r w:rsidRPr="00C04E95">
        <w:rPr>
          <w:rFonts w:ascii="Garamond" w:hAnsi="Garamond"/>
        </w:rPr>
        <w:t xml:space="preserve"> de 2025, donde </w:t>
      </w:r>
      <w:r w:rsidR="00766DCF" w:rsidRPr="00C04E95">
        <w:rPr>
          <w:rFonts w:ascii="Garamond" w:hAnsi="Garamond"/>
        </w:rPr>
        <w:t>catorce</w:t>
      </w:r>
      <w:r w:rsidRPr="00C04E95">
        <w:rPr>
          <w:rFonts w:ascii="Garamond" w:hAnsi="Garamond"/>
        </w:rPr>
        <w:t xml:space="preserve"> (1</w:t>
      </w:r>
      <w:r w:rsidR="00766DCF" w:rsidRPr="00C04E95">
        <w:rPr>
          <w:rFonts w:ascii="Garamond" w:hAnsi="Garamond"/>
        </w:rPr>
        <w:t>4</w:t>
      </w:r>
      <w:r w:rsidRPr="00C04E95">
        <w:rPr>
          <w:rFonts w:ascii="Garamond" w:hAnsi="Garamond"/>
        </w:rPr>
        <w:t>) de los dieciocho (18) subsectores de servicios presentaron variación positiva de los ingresos totales, en comparación con enero de 2024, como se presenta en la siguiente gráfica:</w:t>
      </w:r>
    </w:p>
    <w:p w14:paraId="4CA741A8" w14:textId="478EA4C5" w:rsidR="00442824" w:rsidRPr="00680B97" w:rsidRDefault="00442824" w:rsidP="00680B97">
      <w:pPr>
        <w:jc w:val="both"/>
        <w:rPr>
          <w:rFonts w:ascii="Garamond" w:hAnsi="Garamond"/>
        </w:rPr>
      </w:pPr>
    </w:p>
    <w:p w14:paraId="4653F222" w14:textId="1D7CD0A7" w:rsidR="00442824" w:rsidRPr="00680B97" w:rsidRDefault="00442824" w:rsidP="00680B97">
      <w:pPr>
        <w:jc w:val="both"/>
        <w:rPr>
          <w:rFonts w:ascii="Garamond" w:hAnsi="Garamond"/>
        </w:rPr>
      </w:pPr>
    </w:p>
    <w:p w14:paraId="558262EB" w14:textId="0837C71B" w:rsidR="002D3E3E" w:rsidRDefault="00004592" w:rsidP="000852B8">
      <w:pPr>
        <w:widowControl/>
        <w:spacing w:after="160" w:line="276" w:lineRule="auto"/>
        <w:jc w:val="center"/>
        <w:rPr>
          <w:sz w:val="16"/>
          <w:szCs w:val="16"/>
        </w:rPr>
      </w:pPr>
      <w:r w:rsidRPr="00004592">
        <w:rPr>
          <w:noProof/>
          <w:sz w:val="16"/>
          <w:szCs w:val="16"/>
        </w:rPr>
        <w:lastRenderedPageBreak/>
        <w:drawing>
          <wp:inline distT="0" distB="0" distL="0" distR="0" wp14:anchorId="062DBA88" wp14:editId="17AC1AF8">
            <wp:extent cx="4378509" cy="6362898"/>
            <wp:effectExtent l="0" t="0" r="317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92705" cy="6383527"/>
                    </a:xfrm>
                    <a:prstGeom prst="rect">
                      <a:avLst/>
                    </a:prstGeom>
                  </pic:spPr>
                </pic:pic>
              </a:graphicData>
            </a:graphic>
          </wp:inline>
        </w:drawing>
      </w:r>
    </w:p>
    <w:p w14:paraId="0065C371" w14:textId="2FD1BD0E" w:rsidR="002D3E3E" w:rsidRPr="000852B8" w:rsidRDefault="006F21CD" w:rsidP="002D3E3E">
      <w:pPr>
        <w:widowControl/>
        <w:spacing w:after="160" w:line="276" w:lineRule="auto"/>
        <w:jc w:val="center"/>
        <w:rPr>
          <w:sz w:val="16"/>
          <w:szCs w:val="16"/>
        </w:rPr>
      </w:pPr>
      <w:hyperlink r:id="rId11" w:history="1">
        <w:r w:rsidR="002D3E3E" w:rsidRPr="000852B8">
          <w:rPr>
            <w:rStyle w:val="Hipervnculo"/>
            <w:color w:val="auto"/>
            <w:sz w:val="16"/>
            <w:szCs w:val="16"/>
          </w:rPr>
          <w:t>https://www.dane.gov.co/index.php/estadisticas-por-tema/servicios/encuesta-mensual-de-servicios-de-bogota-emsb#</w:t>
        </w:r>
      </w:hyperlink>
    </w:p>
    <w:p w14:paraId="1C4E9D47" w14:textId="211B4EF8" w:rsidR="000852B8" w:rsidRPr="000852B8" w:rsidRDefault="000852B8" w:rsidP="002D3E3E">
      <w:pPr>
        <w:widowControl/>
        <w:spacing w:after="160" w:line="276" w:lineRule="auto"/>
        <w:jc w:val="center"/>
        <w:rPr>
          <w:rFonts w:ascii="Garamond" w:hAnsi="Garamond"/>
          <w:sz w:val="16"/>
          <w:szCs w:val="16"/>
        </w:rPr>
      </w:pPr>
      <w:r w:rsidRPr="000852B8">
        <w:rPr>
          <w:rFonts w:ascii="Roboto" w:hAnsi="Roboto"/>
          <w:b/>
          <w:bCs/>
          <w:sz w:val="16"/>
          <w:szCs w:val="16"/>
          <w:shd w:val="clear" w:color="auto" w:fill="FDFDFD"/>
        </w:rPr>
        <w:t>Fuente:</w:t>
      </w:r>
      <w:r w:rsidRPr="000852B8">
        <w:rPr>
          <w:rFonts w:ascii="Roboto" w:hAnsi="Roboto"/>
          <w:sz w:val="16"/>
          <w:szCs w:val="16"/>
          <w:shd w:val="clear" w:color="auto" w:fill="FDFDFD"/>
        </w:rPr>
        <w:t> DANE – Encuesta Anual de Servicios (EAS)</w:t>
      </w:r>
    </w:p>
    <w:p w14:paraId="539EB5AD" w14:textId="77777777" w:rsidR="002D3E3E" w:rsidRDefault="002D3E3E" w:rsidP="004051D4">
      <w:pPr>
        <w:pStyle w:val="Ttulo3"/>
        <w:jc w:val="both"/>
        <w:rPr>
          <w:rFonts w:ascii="Times New Roman" w:eastAsia="Times New Roman" w:hAnsi="Times New Roman" w:cs="Times New Roman"/>
          <w:color w:val="auto"/>
          <w:sz w:val="22"/>
          <w:szCs w:val="22"/>
        </w:rPr>
      </w:pPr>
    </w:p>
    <w:p w14:paraId="291EDD22" w14:textId="7AE1B3F7" w:rsidR="004051D4" w:rsidRPr="00C04E95" w:rsidRDefault="004051D4" w:rsidP="000852B8">
      <w:pPr>
        <w:pStyle w:val="Ttulo3"/>
        <w:numPr>
          <w:ilvl w:val="0"/>
          <w:numId w:val="8"/>
        </w:numPr>
        <w:jc w:val="both"/>
        <w:rPr>
          <w:rFonts w:ascii="Garamond" w:eastAsia="Times New Roman" w:hAnsi="Garamond" w:cs="Times New Roman"/>
          <w:color w:val="auto"/>
          <w:sz w:val="22"/>
          <w:szCs w:val="22"/>
        </w:rPr>
      </w:pPr>
      <w:r w:rsidRPr="00C04E95">
        <w:rPr>
          <w:rFonts w:ascii="Garamond" w:eastAsia="Times New Roman" w:hAnsi="Garamond" w:cs="Times New Roman"/>
          <w:color w:val="auto"/>
          <w:sz w:val="22"/>
          <w:szCs w:val="22"/>
        </w:rPr>
        <w:t>PIB INFORMACIÓN PRIMER TRIMESTRE 2025</w:t>
      </w:r>
    </w:p>
    <w:p w14:paraId="10308B64" w14:textId="67B2FFCF" w:rsidR="000852B8" w:rsidRPr="00C04E95" w:rsidRDefault="000852B8" w:rsidP="000852B8">
      <w:pPr>
        <w:rPr>
          <w:rFonts w:ascii="Garamond" w:hAnsi="Garamond"/>
        </w:rPr>
      </w:pPr>
    </w:p>
    <w:p w14:paraId="119BC06B" w14:textId="27E91732" w:rsidR="000852B8" w:rsidRPr="00C04E95" w:rsidRDefault="000852B8" w:rsidP="000852B8">
      <w:pPr>
        <w:rPr>
          <w:rFonts w:ascii="Garamond" w:hAnsi="Garamond"/>
        </w:rPr>
      </w:pPr>
      <w:r w:rsidRPr="00C04E95">
        <w:rPr>
          <w:rFonts w:ascii="Garamond" w:hAnsi="Garamond"/>
        </w:rPr>
        <w:t>En el cuarto trimestre de 2025, el producto interno Bruto en su serie original, crece 2,3% respecto al mismo periodo de 2024.</w:t>
      </w:r>
    </w:p>
    <w:p w14:paraId="0F841276" w14:textId="58C4F0EA" w:rsidR="00FE5924" w:rsidRDefault="00FE5924" w:rsidP="000852B8">
      <w:pPr>
        <w:rPr>
          <w:rFonts w:eastAsia="Garamond"/>
        </w:rPr>
      </w:pPr>
    </w:p>
    <w:p w14:paraId="165B15C1" w14:textId="77777777" w:rsidR="00FE5924" w:rsidRDefault="00FE5924" w:rsidP="000852B8">
      <w:pPr>
        <w:rPr>
          <w:rFonts w:eastAsia="Garamond"/>
        </w:rPr>
      </w:pPr>
    </w:p>
    <w:p w14:paraId="5A83D49B" w14:textId="77777777" w:rsidR="00FE5924" w:rsidRDefault="00FE5924" w:rsidP="00FE5924">
      <w:pPr>
        <w:jc w:val="center"/>
        <w:rPr>
          <w:rFonts w:ascii="Garamond" w:eastAsia="Garamond" w:hAnsi="Garamond" w:cs="Garamond"/>
          <w:sz w:val="20"/>
          <w:szCs w:val="20"/>
        </w:rPr>
      </w:pPr>
      <w:r w:rsidRPr="000852B8">
        <w:rPr>
          <w:rFonts w:ascii="Garamond" w:eastAsia="Garamond" w:hAnsi="Garamond" w:cs="Garamond"/>
          <w:noProof/>
          <w:sz w:val="20"/>
          <w:szCs w:val="20"/>
        </w:rPr>
        <w:drawing>
          <wp:inline distT="0" distB="0" distL="0" distR="0" wp14:anchorId="7D6450FA" wp14:editId="0B3CDB31">
            <wp:extent cx="5801740" cy="3188556"/>
            <wp:effectExtent l="0" t="0" r="889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88271" cy="3236112"/>
                    </a:xfrm>
                    <a:prstGeom prst="rect">
                      <a:avLst/>
                    </a:prstGeom>
                  </pic:spPr>
                </pic:pic>
              </a:graphicData>
            </a:graphic>
          </wp:inline>
        </w:drawing>
      </w:r>
    </w:p>
    <w:p w14:paraId="5F83FC0C" w14:textId="656953C4" w:rsidR="00FE5924" w:rsidRDefault="004051D4" w:rsidP="00FE5924">
      <w:pPr>
        <w:jc w:val="center"/>
        <w:rPr>
          <w:rFonts w:ascii="Garamond" w:eastAsia="Garamond" w:hAnsi="Garamond" w:cs="Garamond"/>
          <w:sz w:val="20"/>
          <w:szCs w:val="20"/>
        </w:rPr>
      </w:pPr>
      <w:r w:rsidRPr="00BC473D">
        <w:rPr>
          <w:rFonts w:ascii="Garamond" w:eastAsia="Garamond" w:hAnsi="Garamond" w:cs="Garamond"/>
          <w:sz w:val="20"/>
          <w:szCs w:val="20"/>
        </w:rPr>
        <w:t>Fuente DANE, PIB.</w:t>
      </w:r>
    </w:p>
    <w:p w14:paraId="14BF6644" w14:textId="77777777" w:rsidR="00FE5924" w:rsidRDefault="00FE5924" w:rsidP="00FE5924">
      <w:pPr>
        <w:jc w:val="center"/>
        <w:rPr>
          <w:rFonts w:ascii="Garamond" w:eastAsia="Garamond" w:hAnsi="Garamond" w:cs="Garamond"/>
          <w:sz w:val="20"/>
          <w:szCs w:val="20"/>
        </w:rPr>
      </w:pPr>
    </w:p>
    <w:p w14:paraId="187EF9FF" w14:textId="02E5B861" w:rsidR="004051D4" w:rsidRDefault="004051D4" w:rsidP="003347BE">
      <w:pPr>
        <w:jc w:val="both"/>
        <w:rPr>
          <w:rFonts w:ascii="Garamond" w:eastAsia="Garamond" w:hAnsi="Garamond" w:cs="Garamond"/>
        </w:rPr>
      </w:pPr>
      <w:r w:rsidRPr="00BC473D">
        <w:rPr>
          <w:rFonts w:ascii="Garamond" w:eastAsia="Garamond" w:hAnsi="Garamond" w:cs="Garamond"/>
        </w:rPr>
        <w:t>Las actividades económicas que más contribuyen a la dinámica del valor agregado son:</w:t>
      </w:r>
    </w:p>
    <w:p w14:paraId="41DF117E" w14:textId="25AEE7B8" w:rsidR="00C52CE2" w:rsidRDefault="00C52CE2" w:rsidP="003347BE">
      <w:pPr>
        <w:jc w:val="both"/>
        <w:rPr>
          <w:rFonts w:ascii="Garamond" w:eastAsia="Garamond" w:hAnsi="Garamond" w:cs="Garamond"/>
        </w:rPr>
      </w:pPr>
    </w:p>
    <w:p w14:paraId="41FC3943" w14:textId="475805A9" w:rsidR="00C52CE2" w:rsidRDefault="00C52CE2" w:rsidP="003347BE">
      <w:pPr>
        <w:pStyle w:val="Prrafodelista"/>
        <w:numPr>
          <w:ilvl w:val="0"/>
          <w:numId w:val="34"/>
        </w:numPr>
        <w:jc w:val="both"/>
        <w:rPr>
          <w:rFonts w:ascii="Garamond" w:eastAsia="Garamond" w:hAnsi="Garamond" w:cs="Garamond"/>
        </w:rPr>
      </w:pPr>
      <w:r>
        <w:rPr>
          <w:rFonts w:ascii="Garamond" w:eastAsia="Garamond" w:hAnsi="Garamond" w:cs="Garamond"/>
        </w:rPr>
        <w:t>Comercio al por mayor y al por menor; reparación de vehículos automotores y motocicletas; Transporte y almacenamiento; Alojamiento y servicios de comida crece 4,6% (contribuye 0,9 puntos porcentuales a la variación anual.</w:t>
      </w:r>
    </w:p>
    <w:p w14:paraId="4D3E084D" w14:textId="03ACEF66" w:rsidR="00C52CE2" w:rsidRDefault="00C52CE2" w:rsidP="003347BE">
      <w:pPr>
        <w:jc w:val="both"/>
        <w:rPr>
          <w:rFonts w:ascii="Garamond" w:eastAsia="Garamond" w:hAnsi="Garamond" w:cs="Garamond"/>
        </w:rPr>
      </w:pPr>
    </w:p>
    <w:p w14:paraId="706C6F01" w14:textId="533A46DC" w:rsidR="00C52CE2" w:rsidRPr="00C13BED" w:rsidRDefault="00C52CE2" w:rsidP="00C13BED">
      <w:pPr>
        <w:pStyle w:val="Prrafodelista"/>
        <w:numPr>
          <w:ilvl w:val="0"/>
          <w:numId w:val="34"/>
        </w:numPr>
        <w:jc w:val="both"/>
        <w:rPr>
          <w:rFonts w:ascii="Garamond" w:eastAsia="Garamond" w:hAnsi="Garamond" w:cs="Garamond"/>
        </w:rPr>
      </w:pPr>
      <w:r>
        <w:rPr>
          <w:rFonts w:ascii="Garamond" w:eastAsia="Garamond" w:hAnsi="Garamond" w:cs="Garamond"/>
        </w:rPr>
        <w:t>Administración publica y defensa; planes de seguridad social de afiliación obligatoria; Educación; Actividades de atención de la salud humana y de servicios sociales crece 4,5% (contribuye 0,8 puntos porcentuales a la variación anual.</w:t>
      </w:r>
    </w:p>
    <w:p w14:paraId="03258992" w14:textId="77777777" w:rsidR="00C52CE2" w:rsidRPr="00C52CE2" w:rsidRDefault="00C52CE2" w:rsidP="003347BE">
      <w:pPr>
        <w:pStyle w:val="Prrafodelista"/>
        <w:jc w:val="both"/>
        <w:rPr>
          <w:rFonts w:ascii="Garamond" w:eastAsia="Garamond" w:hAnsi="Garamond" w:cs="Garamond"/>
        </w:rPr>
      </w:pPr>
    </w:p>
    <w:p w14:paraId="5BE8270E" w14:textId="021017F9" w:rsidR="00C52CE2" w:rsidRDefault="00C52CE2" w:rsidP="003347BE">
      <w:pPr>
        <w:pStyle w:val="Prrafodelista"/>
        <w:numPr>
          <w:ilvl w:val="0"/>
          <w:numId w:val="34"/>
        </w:numPr>
        <w:jc w:val="both"/>
        <w:rPr>
          <w:rFonts w:ascii="Garamond" w:eastAsia="Garamond" w:hAnsi="Garamond" w:cs="Garamond"/>
        </w:rPr>
      </w:pPr>
      <w:r>
        <w:rPr>
          <w:rFonts w:ascii="Garamond" w:eastAsia="Garamond" w:hAnsi="Garamond" w:cs="Garamond"/>
        </w:rPr>
        <w:t xml:space="preserve">Actividades Artísticas, de entretenimiento y </w:t>
      </w:r>
      <w:r w:rsidR="00283FF8">
        <w:rPr>
          <w:rFonts w:ascii="Garamond" w:eastAsia="Garamond" w:hAnsi="Garamond" w:cs="Garamond"/>
        </w:rPr>
        <w:t>recreación</w:t>
      </w:r>
      <w:r>
        <w:rPr>
          <w:rFonts w:ascii="Garamond" w:eastAsia="Garamond" w:hAnsi="Garamond" w:cs="Garamond"/>
        </w:rPr>
        <w:t xml:space="preserve"> y otras actividades de servicios; </w:t>
      </w:r>
      <w:r w:rsidR="00283FF8">
        <w:rPr>
          <w:rFonts w:ascii="Garamond" w:eastAsia="Garamond" w:hAnsi="Garamond" w:cs="Garamond"/>
        </w:rPr>
        <w:t xml:space="preserve">Actividades de los hogares individuales en calidad de empleadores; actividades no </w:t>
      </w:r>
      <w:r w:rsidR="000B58A6">
        <w:rPr>
          <w:rFonts w:ascii="Garamond" w:eastAsia="Garamond" w:hAnsi="Garamond" w:cs="Garamond"/>
        </w:rPr>
        <w:t>diferenciadas</w:t>
      </w:r>
      <w:r w:rsidR="00283FF8">
        <w:rPr>
          <w:rFonts w:ascii="Garamond" w:eastAsia="Garamond" w:hAnsi="Garamond" w:cs="Garamond"/>
        </w:rPr>
        <w:t xml:space="preserve"> de los hogares </w:t>
      </w:r>
      <w:r w:rsidR="000B58A6">
        <w:rPr>
          <w:rFonts w:ascii="Garamond" w:eastAsia="Garamond" w:hAnsi="Garamond" w:cs="Garamond"/>
        </w:rPr>
        <w:t>individuales como</w:t>
      </w:r>
      <w:r w:rsidR="00283FF8">
        <w:rPr>
          <w:rFonts w:ascii="Garamond" w:eastAsia="Garamond" w:hAnsi="Garamond" w:cs="Garamond"/>
        </w:rPr>
        <w:t xml:space="preserve"> productores de bienes y servicios para uso propio crece 9,9% (contribuye 0,4 puntos porcentuales a la variación anual.</w:t>
      </w:r>
    </w:p>
    <w:p w14:paraId="28A39F68" w14:textId="7DBD53D7" w:rsidR="000B58A6" w:rsidRPr="00C13BED" w:rsidRDefault="000B58A6" w:rsidP="00C13BED">
      <w:pPr>
        <w:ind w:left="360"/>
        <w:jc w:val="both"/>
        <w:rPr>
          <w:rFonts w:ascii="Garamond" w:eastAsia="Garamond" w:hAnsi="Garamond" w:cs="Garamond"/>
        </w:rPr>
      </w:pPr>
      <w:r w:rsidRPr="00C13BED">
        <w:rPr>
          <w:rFonts w:ascii="Garamond" w:eastAsia="Garamond" w:hAnsi="Garamond" w:cs="Garamond"/>
        </w:rPr>
        <w:lastRenderedPageBreak/>
        <w:t xml:space="preserve">En el cuarto trimestre 2025. El Producto interno bruto en su serie original, crece 2.3% respecto al mismo periodo 2024. Las actividades económicas que mas contribuyen a la dinámica del valor agregado son: </w:t>
      </w:r>
    </w:p>
    <w:p w14:paraId="63464ADA" w14:textId="77777777" w:rsidR="00C13BED" w:rsidRDefault="00C13BED" w:rsidP="00C13BED">
      <w:pPr>
        <w:pStyle w:val="Prrafodelista"/>
        <w:ind w:left="720" w:firstLine="0"/>
        <w:jc w:val="both"/>
        <w:rPr>
          <w:rFonts w:ascii="Garamond" w:eastAsia="Garamond" w:hAnsi="Garamond" w:cs="Garamond"/>
        </w:rPr>
      </w:pPr>
    </w:p>
    <w:p w14:paraId="0AE19294" w14:textId="52D922AE" w:rsidR="000B58A6" w:rsidRDefault="000B58A6" w:rsidP="003347BE">
      <w:pPr>
        <w:pStyle w:val="Prrafodelista"/>
        <w:numPr>
          <w:ilvl w:val="0"/>
          <w:numId w:val="34"/>
        </w:numPr>
        <w:jc w:val="both"/>
        <w:rPr>
          <w:rFonts w:ascii="Garamond" w:eastAsia="Garamond" w:hAnsi="Garamond" w:cs="Garamond"/>
        </w:rPr>
      </w:pPr>
      <w:r>
        <w:rPr>
          <w:rFonts w:ascii="Garamond" w:eastAsia="Garamond" w:hAnsi="Garamond" w:cs="Garamond"/>
        </w:rPr>
        <w:t>Administración Publica y defensa; planes de seguridad social de afiliación obligatoria; Educación; Actividades de atención de la salud humana y de servicios sociales crece4,8% (contribuye 0,9 puntos porcentuales a la variación anual).</w:t>
      </w:r>
    </w:p>
    <w:p w14:paraId="6F14580E" w14:textId="77777777" w:rsidR="00C13BED" w:rsidRDefault="00C13BED" w:rsidP="00C13BED">
      <w:pPr>
        <w:pStyle w:val="Prrafodelista"/>
        <w:ind w:left="720" w:firstLine="0"/>
        <w:jc w:val="both"/>
        <w:rPr>
          <w:rFonts w:ascii="Garamond" w:eastAsia="Garamond" w:hAnsi="Garamond" w:cs="Garamond"/>
        </w:rPr>
      </w:pPr>
    </w:p>
    <w:p w14:paraId="598CD37B" w14:textId="7A831209" w:rsidR="000B58A6" w:rsidRDefault="000B58A6" w:rsidP="003347BE">
      <w:pPr>
        <w:pStyle w:val="Prrafodelista"/>
        <w:numPr>
          <w:ilvl w:val="0"/>
          <w:numId w:val="34"/>
        </w:numPr>
        <w:jc w:val="both"/>
        <w:rPr>
          <w:rFonts w:ascii="Garamond" w:eastAsia="Garamond" w:hAnsi="Garamond" w:cs="Garamond"/>
        </w:rPr>
      </w:pPr>
      <w:r>
        <w:rPr>
          <w:rFonts w:ascii="Garamond" w:eastAsia="Garamond" w:hAnsi="Garamond" w:cs="Garamond"/>
        </w:rPr>
        <w:t>Comercio al por mayor y al por menor; reparación de vehículos automotores y motocicletas; Transporte y almacenamiento; Alojamiento y servicios de comida crece 3,4% (contribuye 0,7 puntos porcentuales a la variación anual).</w:t>
      </w:r>
    </w:p>
    <w:p w14:paraId="1157D457" w14:textId="77777777" w:rsidR="00C13BED" w:rsidRPr="00C13BED" w:rsidRDefault="00C13BED" w:rsidP="00C13BED">
      <w:pPr>
        <w:jc w:val="both"/>
        <w:rPr>
          <w:rFonts w:ascii="Garamond" w:eastAsia="Garamond" w:hAnsi="Garamond" w:cs="Garamond"/>
        </w:rPr>
      </w:pPr>
    </w:p>
    <w:p w14:paraId="756414BB" w14:textId="73319F56" w:rsidR="000B58A6" w:rsidRDefault="000B58A6" w:rsidP="003347BE">
      <w:pPr>
        <w:pStyle w:val="Prrafodelista"/>
        <w:numPr>
          <w:ilvl w:val="0"/>
          <w:numId w:val="34"/>
        </w:numPr>
        <w:jc w:val="both"/>
        <w:rPr>
          <w:rFonts w:ascii="Garamond" w:eastAsia="Garamond" w:hAnsi="Garamond" w:cs="Garamond"/>
        </w:rPr>
      </w:pPr>
      <w:r>
        <w:rPr>
          <w:rFonts w:ascii="Garamond" w:eastAsia="Garamond" w:hAnsi="Garamond" w:cs="Garamond"/>
        </w:rPr>
        <w:t xml:space="preserve">Actividades artísticas, de entrenamiento y recreación y otras actividades de servicios; Actividades de los hogares individuales en calidad de empleadores; actividades no diferenciadas de los hogares individuales como productores de bienes y servicios para uso propio crece 11,5% (contribuye 0,5 puntos porcentuales a la variación anual). </w:t>
      </w:r>
    </w:p>
    <w:p w14:paraId="51BAAB77" w14:textId="05F74ECD" w:rsidR="000B58A6" w:rsidRDefault="000B58A6" w:rsidP="003347BE">
      <w:pPr>
        <w:jc w:val="both"/>
        <w:rPr>
          <w:rFonts w:ascii="Garamond" w:eastAsia="Garamond" w:hAnsi="Garamond" w:cs="Garamond"/>
        </w:rPr>
      </w:pPr>
    </w:p>
    <w:p w14:paraId="7B96C445" w14:textId="5E59B5E4" w:rsidR="000B58A6" w:rsidRDefault="000B58A6" w:rsidP="003347BE">
      <w:pPr>
        <w:jc w:val="both"/>
        <w:rPr>
          <w:rFonts w:ascii="Garamond" w:eastAsia="Garamond" w:hAnsi="Garamond" w:cs="Garamond"/>
        </w:rPr>
      </w:pPr>
      <w:r>
        <w:rPr>
          <w:rFonts w:ascii="Garamond" w:eastAsia="Garamond" w:hAnsi="Garamond" w:cs="Garamond"/>
        </w:rPr>
        <w:t>Respecto al trimestre inmediatamente anterior, el Producto Interno Bruto en su serie ajustada por efecto estacional y calendario crece 0,1%. Cuando se observa el comportamiento de las actividades económicas relacionadas:</w:t>
      </w:r>
    </w:p>
    <w:p w14:paraId="32A3CA3D" w14:textId="50925AE7" w:rsidR="00BF2242" w:rsidRDefault="00BF2242" w:rsidP="003347BE">
      <w:pPr>
        <w:jc w:val="both"/>
        <w:rPr>
          <w:rFonts w:ascii="Garamond" w:eastAsia="Garamond" w:hAnsi="Garamond" w:cs="Garamond"/>
        </w:rPr>
      </w:pPr>
    </w:p>
    <w:p w14:paraId="19B63A78" w14:textId="17D71377" w:rsidR="00BF2242" w:rsidRDefault="00BF2242" w:rsidP="003347BE">
      <w:pPr>
        <w:pStyle w:val="Prrafodelista"/>
        <w:numPr>
          <w:ilvl w:val="0"/>
          <w:numId w:val="37"/>
        </w:numPr>
        <w:jc w:val="both"/>
        <w:rPr>
          <w:rFonts w:ascii="Garamond" w:eastAsia="Garamond" w:hAnsi="Garamond" w:cs="Garamond"/>
        </w:rPr>
      </w:pPr>
      <w:r>
        <w:rPr>
          <w:rFonts w:ascii="Garamond" w:eastAsia="Garamond" w:hAnsi="Garamond" w:cs="Garamond"/>
        </w:rPr>
        <w:t>Actividades artísticas, de entrenamiento y recreación y otras actividades de servicios; Actividades de los hogares individuales en calidad de empleadores; actividades no diferenciadas de los hogares individuales como productores de bienes y servicios para uso propio crece 4,6%</w:t>
      </w:r>
    </w:p>
    <w:p w14:paraId="3112836A" w14:textId="77777777" w:rsidR="00E14BF7" w:rsidRDefault="00E14BF7" w:rsidP="00E14BF7">
      <w:pPr>
        <w:pStyle w:val="Prrafodelista"/>
        <w:ind w:left="720" w:firstLine="0"/>
        <w:jc w:val="both"/>
        <w:rPr>
          <w:rFonts w:ascii="Garamond" w:eastAsia="Garamond" w:hAnsi="Garamond" w:cs="Garamond"/>
        </w:rPr>
      </w:pPr>
    </w:p>
    <w:p w14:paraId="7B997E02" w14:textId="2E48426A" w:rsidR="00BF2242" w:rsidRDefault="00BF2242" w:rsidP="003347BE">
      <w:pPr>
        <w:pStyle w:val="Prrafodelista"/>
        <w:numPr>
          <w:ilvl w:val="0"/>
          <w:numId w:val="37"/>
        </w:numPr>
        <w:jc w:val="both"/>
        <w:rPr>
          <w:rFonts w:ascii="Garamond" w:eastAsia="Garamond" w:hAnsi="Garamond" w:cs="Garamond"/>
        </w:rPr>
      </w:pPr>
      <w:r>
        <w:rPr>
          <w:rFonts w:ascii="Garamond" w:eastAsia="Garamond" w:hAnsi="Garamond" w:cs="Garamond"/>
        </w:rPr>
        <w:t xml:space="preserve">Comercio l por mayor y al por menor; reparación de vehículos automotores </w:t>
      </w:r>
      <w:r w:rsidR="003347BE">
        <w:rPr>
          <w:rFonts w:ascii="Garamond" w:eastAsia="Garamond" w:hAnsi="Garamond" w:cs="Garamond"/>
        </w:rPr>
        <w:t>y motocicletas</w:t>
      </w:r>
      <w:r>
        <w:rPr>
          <w:rFonts w:ascii="Garamond" w:eastAsia="Garamond" w:hAnsi="Garamond" w:cs="Garamond"/>
        </w:rPr>
        <w:t>; Transporte y almacenamiento; Alojamiento y servicios de comida crece 1,6%</w:t>
      </w:r>
    </w:p>
    <w:p w14:paraId="2528AC3C" w14:textId="77777777" w:rsidR="00E14BF7" w:rsidRPr="00E14BF7" w:rsidRDefault="00E14BF7" w:rsidP="00E14BF7">
      <w:pPr>
        <w:jc w:val="both"/>
        <w:rPr>
          <w:rFonts w:ascii="Garamond" w:eastAsia="Garamond" w:hAnsi="Garamond" w:cs="Garamond"/>
        </w:rPr>
      </w:pPr>
    </w:p>
    <w:p w14:paraId="6DA3A095" w14:textId="1EFA9310" w:rsidR="00BF2242" w:rsidRPr="00BF2242" w:rsidRDefault="00BF2242" w:rsidP="003347BE">
      <w:pPr>
        <w:pStyle w:val="Prrafodelista"/>
        <w:numPr>
          <w:ilvl w:val="0"/>
          <w:numId w:val="37"/>
        </w:numPr>
        <w:jc w:val="both"/>
        <w:rPr>
          <w:rFonts w:ascii="Garamond" w:eastAsia="Garamond" w:hAnsi="Garamond" w:cs="Garamond"/>
        </w:rPr>
      </w:pPr>
      <w:r>
        <w:rPr>
          <w:rFonts w:ascii="Garamond" w:eastAsia="Garamond" w:hAnsi="Garamond" w:cs="Garamond"/>
        </w:rPr>
        <w:t xml:space="preserve">Explotación de minas y </w:t>
      </w:r>
      <w:r w:rsidRPr="003347BE">
        <w:rPr>
          <w:rFonts w:ascii="Garamond" w:eastAsia="Garamond" w:hAnsi="Garamond" w:cs="Garamond"/>
        </w:rPr>
        <w:t>canteras crece 1,2%</w:t>
      </w:r>
    </w:p>
    <w:p w14:paraId="1512D2C9" w14:textId="0169D2DA" w:rsidR="004051D4" w:rsidRDefault="004051D4" w:rsidP="004051D4">
      <w:pPr>
        <w:rPr>
          <w:rFonts w:ascii="Garamond" w:eastAsia="Garamond" w:hAnsi="Garamond" w:cs="Garamond"/>
          <w:sz w:val="24"/>
          <w:szCs w:val="24"/>
        </w:rPr>
      </w:pPr>
    </w:p>
    <w:p w14:paraId="2B78848C" w14:textId="77777777" w:rsidR="00BF2242" w:rsidRPr="00BF2242" w:rsidRDefault="00BF2242" w:rsidP="004051D4">
      <w:pPr>
        <w:rPr>
          <w:rFonts w:eastAsia="Garamond"/>
          <w:color w:val="FF0000"/>
        </w:rPr>
      </w:pPr>
    </w:p>
    <w:p w14:paraId="0E2D27F6" w14:textId="2FA85E09" w:rsidR="004051D4" w:rsidRDefault="004051D4" w:rsidP="004051D4">
      <w:pPr>
        <w:pStyle w:val="Ttulo3"/>
        <w:jc w:val="center"/>
        <w:rPr>
          <w:rFonts w:ascii="Garamond" w:eastAsia="Garamond" w:hAnsi="Garamond" w:cs="Garamond"/>
          <w:color w:val="auto"/>
        </w:rPr>
      </w:pPr>
      <w:r w:rsidRPr="003347BE">
        <w:rPr>
          <w:rFonts w:ascii="Garamond" w:eastAsia="Garamond" w:hAnsi="Garamond" w:cs="Garamond"/>
          <w:color w:val="auto"/>
        </w:rPr>
        <w:t>VARIABLES ECONÓMICAS QUE PUEDEN AFECTAR EL ABASTECIMIENTO O LOS PRECIOS EN EL SECTOR</w:t>
      </w:r>
    </w:p>
    <w:p w14:paraId="51720B8E" w14:textId="7656C19A" w:rsidR="009A1FCD" w:rsidRPr="003347BE" w:rsidRDefault="009A1FCD" w:rsidP="009A1FCD">
      <w:pPr>
        <w:pStyle w:val="Ttulo4"/>
        <w:rPr>
          <w:rFonts w:ascii="Garamond" w:eastAsia="Garamond" w:hAnsi="Garamond" w:cs="Garamond"/>
          <w:b w:val="0"/>
          <w:sz w:val="22"/>
          <w:szCs w:val="22"/>
        </w:rPr>
      </w:pPr>
      <w:r w:rsidRPr="003347BE">
        <w:rPr>
          <w:rFonts w:ascii="Garamond" w:eastAsia="Garamond" w:hAnsi="Garamond" w:cs="Garamond"/>
          <w:b w:val="0"/>
          <w:sz w:val="22"/>
          <w:szCs w:val="22"/>
        </w:rPr>
        <w:t>●</w:t>
      </w:r>
      <w:r w:rsidR="003347BE">
        <w:rPr>
          <w:rFonts w:ascii="Garamond" w:eastAsia="Garamond" w:hAnsi="Garamond" w:cs="Garamond"/>
          <w:b w:val="0"/>
          <w:sz w:val="22"/>
          <w:szCs w:val="22"/>
        </w:rPr>
        <w:t xml:space="preserve"> </w:t>
      </w:r>
      <w:r w:rsidRPr="003347BE">
        <w:rPr>
          <w:rFonts w:ascii="Garamond" w:eastAsia="Garamond" w:hAnsi="Garamond" w:cs="Garamond"/>
          <w:bCs/>
          <w:sz w:val="22"/>
          <w:szCs w:val="22"/>
        </w:rPr>
        <w:t>Inflación</w:t>
      </w:r>
    </w:p>
    <w:p w14:paraId="1F323A0E" w14:textId="77777777" w:rsidR="009A1FCD" w:rsidRPr="003347BE" w:rsidRDefault="009A1FCD" w:rsidP="009A1FCD">
      <w:pPr>
        <w:pStyle w:val="Ttulo5"/>
        <w:rPr>
          <w:rFonts w:ascii="Garamond" w:eastAsia="Garamond" w:hAnsi="Garamond" w:cs="Garamond"/>
          <w:b w:val="0"/>
        </w:rPr>
      </w:pPr>
      <w:r w:rsidRPr="003347BE">
        <w:rPr>
          <w:rFonts w:ascii="Garamond" w:eastAsia="Garamond" w:hAnsi="Garamond" w:cs="Garamond"/>
          <w:b w:val="0"/>
        </w:rPr>
        <w:t>Análisis del Índice de Precios al Consumidor (IPC) en Colombia: variaciones mensuales y anuales</w:t>
      </w:r>
    </w:p>
    <w:p w14:paraId="64E9DB0A" w14:textId="0E3A3386" w:rsidR="009A1FCD" w:rsidRPr="003347BE" w:rsidRDefault="009A1FCD"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t xml:space="preserve">La inflación en Colombia durante 2026 ha mostrado un comportamiento moderadamente creciente, generando impactos directos sobre los costos de abastecimiento, transporte, almacenamiento y comercialización en diferentes sectores económicos. Según cifras oficiales del DANE, en marzo de 2026 la variación anual del Índice de Precios al Consumidor (IPC) se ubicó en 5,56%, superior al </w:t>
      </w:r>
      <w:r w:rsidRPr="003347BE">
        <w:rPr>
          <w:rFonts w:ascii="Garamond" w:eastAsia="Garamond" w:hAnsi="Garamond" w:cs="Garamond"/>
          <w:b/>
          <w:bCs/>
          <w:sz w:val="22"/>
          <w:szCs w:val="22"/>
        </w:rPr>
        <w:t>5,09%</w:t>
      </w:r>
      <w:r w:rsidRPr="003347BE">
        <w:rPr>
          <w:rFonts w:ascii="Garamond" w:eastAsia="Garamond" w:hAnsi="Garamond" w:cs="Garamond"/>
          <w:sz w:val="22"/>
          <w:szCs w:val="22"/>
        </w:rPr>
        <w:t xml:space="preserve"> registrado en marzo de 2025. Asimismo, la variación mensual fue de </w:t>
      </w:r>
      <w:r w:rsidRPr="003347BE">
        <w:rPr>
          <w:rFonts w:ascii="Garamond" w:eastAsia="Garamond" w:hAnsi="Garamond" w:cs="Garamond"/>
          <w:b/>
          <w:bCs/>
          <w:sz w:val="22"/>
          <w:szCs w:val="22"/>
        </w:rPr>
        <w:t>0,78%</w:t>
      </w:r>
      <w:r w:rsidRPr="003347BE">
        <w:rPr>
          <w:rFonts w:ascii="Garamond" w:eastAsia="Garamond" w:hAnsi="Garamond" w:cs="Garamond"/>
          <w:sz w:val="22"/>
          <w:szCs w:val="22"/>
        </w:rPr>
        <w:t xml:space="preserve">, mientras que la variación año corrido alcanzó </w:t>
      </w:r>
      <w:r w:rsidRPr="003347BE">
        <w:rPr>
          <w:rFonts w:ascii="Garamond" w:eastAsia="Garamond" w:hAnsi="Garamond" w:cs="Garamond"/>
          <w:b/>
          <w:bCs/>
          <w:sz w:val="22"/>
          <w:szCs w:val="22"/>
        </w:rPr>
        <w:t>3,07%</w:t>
      </w:r>
      <w:r w:rsidRPr="003347BE">
        <w:rPr>
          <w:rFonts w:ascii="Garamond" w:eastAsia="Garamond" w:hAnsi="Garamond" w:cs="Garamond"/>
          <w:sz w:val="22"/>
          <w:szCs w:val="22"/>
        </w:rPr>
        <w:t xml:space="preserve">. </w:t>
      </w:r>
    </w:p>
    <w:p w14:paraId="7A84F20F" w14:textId="77777777" w:rsidR="009A1FCD" w:rsidRPr="003347BE" w:rsidRDefault="009A1FCD"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lastRenderedPageBreak/>
        <w:t xml:space="preserve">Para febrero de 2026, el IPC anual fue de </w:t>
      </w:r>
      <w:r w:rsidRPr="003347BE">
        <w:rPr>
          <w:rFonts w:ascii="Garamond" w:eastAsia="Garamond" w:hAnsi="Garamond" w:cs="Garamond"/>
          <w:b/>
          <w:bCs/>
          <w:sz w:val="22"/>
          <w:szCs w:val="22"/>
        </w:rPr>
        <w:t>5,29%</w:t>
      </w:r>
      <w:r w:rsidRPr="003347BE">
        <w:rPr>
          <w:rFonts w:ascii="Garamond" w:eastAsia="Garamond" w:hAnsi="Garamond" w:cs="Garamond"/>
          <w:sz w:val="22"/>
          <w:szCs w:val="22"/>
        </w:rPr>
        <w:t xml:space="preserve">, con una variación mensual de </w:t>
      </w:r>
      <w:r w:rsidRPr="003347BE">
        <w:rPr>
          <w:rFonts w:ascii="Garamond" w:eastAsia="Garamond" w:hAnsi="Garamond" w:cs="Garamond"/>
          <w:b/>
          <w:bCs/>
          <w:sz w:val="22"/>
          <w:szCs w:val="22"/>
        </w:rPr>
        <w:t>1,08%</w:t>
      </w:r>
      <w:r w:rsidRPr="003347BE">
        <w:rPr>
          <w:rFonts w:ascii="Garamond" w:eastAsia="Garamond" w:hAnsi="Garamond" w:cs="Garamond"/>
          <w:sz w:val="22"/>
          <w:szCs w:val="22"/>
        </w:rPr>
        <w:t xml:space="preserve"> y una variación acumulada de </w:t>
      </w:r>
      <w:r w:rsidRPr="003347BE">
        <w:rPr>
          <w:rFonts w:ascii="Garamond" w:eastAsia="Garamond" w:hAnsi="Garamond" w:cs="Garamond"/>
          <w:b/>
          <w:bCs/>
          <w:sz w:val="22"/>
          <w:szCs w:val="22"/>
        </w:rPr>
        <w:t>2,27%</w:t>
      </w:r>
      <w:r w:rsidRPr="003347BE">
        <w:rPr>
          <w:rFonts w:ascii="Garamond" w:eastAsia="Garamond" w:hAnsi="Garamond" w:cs="Garamond"/>
          <w:sz w:val="22"/>
          <w:szCs w:val="22"/>
        </w:rPr>
        <w:t xml:space="preserve">. En enero de 2026, la inflación anual se situó en </w:t>
      </w:r>
      <w:r w:rsidRPr="003347BE">
        <w:rPr>
          <w:rFonts w:ascii="Garamond" w:eastAsia="Garamond" w:hAnsi="Garamond" w:cs="Garamond"/>
          <w:b/>
          <w:bCs/>
          <w:sz w:val="22"/>
          <w:szCs w:val="22"/>
        </w:rPr>
        <w:t>5,35%</w:t>
      </w:r>
      <w:r w:rsidRPr="003347BE">
        <w:rPr>
          <w:rFonts w:ascii="Garamond" w:eastAsia="Garamond" w:hAnsi="Garamond" w:cs="Garamond"/>
          <w:sz w:val="22"/>
          <w:szCs w:val="22"/>
        </w:rPr>
        <w:t xml:space="preserve">, mostrando una tendencia de incremento frente al cierre de 2025. </w:t>
      </w:r>
    </w:p>
    <w:p w14:paraId="59472B13" w14:textId="77777777" w:rsidR="009A1FCD" w:rsidRPr="003347BE" w:rsidRDefault="009A1FCD"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t xml:space="preserve">De acuerdo con reportes económicos recientes, en abril de 2026 la inflación anual aumentó a </w:t>
      </w:r>
      <w:r w:rsidRPr="003347BE">
        <w:rPr>
          <w:rFonts w:ascii="Garamond" w:eastAsia="Garamond" w:hAnsi="Garamond" w:cs="Garamond"/>
          <w:b/>
          <w:bCs/>
          <w:sz w:val="22"/>
          <w:szCs w:val="22"/>
        </w:rPr>
        <w:t>5,68%</w:t>
      </w:r>
      <w:r w:rsidRPr="003347BE">
        <w:rPr>
          <w:rFonts w:ascii="Garamond" w:eastAsia="Garamond" w:hAnsi="Garamond" w:cs="Garamond"/>
          <w:sz w:val="22"/>
          <w:szCs w:val="22"/>
        </w:rPr>
        <w:t xml:space="preserve">, impulsada principalmente por el incremento en alimentos, transporte, combustibles, servicios públicos y restaurantes. Este comportamiento continúa ubicándose por encima de la meta establecida por el Banco de la República, lo que mantiene presiones sobre los precios finales al consumidor y sobre los costos operativos de las empresas. </w:t>
      </w:r>
    </w:p>
    <w:p w14:paraId="1A4C5B09" w14:textId="77777777" w:rsidR="009A1FCD" w:rsidRPr="003347BE" w:rsidRDefault="009A1FCD"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t>El aumento en los precios de combustibles y servicios logísticos durante 2026 también ha influido en el abastecimiento de productos, especialmente en sectores que dependen del transporte terrestre y de cadenas de suministro extensas. Como consecuencia, las empresas enfrentan mayores costos de operación y distribución, situación que puede traducirse en incrementos de precios para el consumidor final y en posibles afectaciones en la disponibilidad de algunos bienes.</w:t>
      </w:r>
    </w:p>
    <w:p w14:paraId="6A52A3EC" w14:textId="7BA870DA" w:rsidR="009A1FCD" w:rsidRPr="003347BE" w:rsidRDefault="009A1FCD" w:rsidP="009A1FCD">
      <w:pPr>
        <w:spacing w:before="245" w:line="232" w:lineRule="auto"/>
        <w:ind w:right="256"/>
        <w:jc w:val="both"/>
        <w:rPr>
          <w:rFonts w:ascii="Garamond" w:eastAsia="Garamond" w:hAnsi="Garamond" w:cs="Garamond"/>
          <w:b/>
        </w:rPr>
      </w:pPr>
      <w:r w:rsidRPr="003347BE">
        <w:rPr>
          <w:rFonts w:ascii="Garamond" w:eastAsia="Garamond" w:hAnsi="Garamond" w:cs="Garamond"/>
          <w:b/>
        </w:rPr>
        <w:t>Variación Mensual del IPC EN 2026</w:t>
      </w:r>
    </w:p>
    <w:p w14:paraId="1CEAB72C" w14:textId="71B98AE4" w:rsidR="009A1FCD" w:rsidRPr="003347BE" w:rsidRDefault="009A1FCD"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t xml:space="preserve">En lo corrido del año 2026, específicamente para marzo, la variación mensual del Índice de Precios al Consumidor (IPC) en Colombia fue de </w:t>
      </w:r>
      <w:r w:rsidRPr="003347BE">
        <w:rPr>
          <w:rFonts w:ascii="Garamond" w:eastAsia="Garamond" w:hAnsi="Garamond" w:cs="Garamond"/>
          <w:b/>
          <w:bCs/>
          <w:sz w:val="22"/>
          <w:szCs w:val="22"/>
        </w:rPr>
        <w:t>0,78%</w:t>
      </w:r>
      <w:r w:rsidRPr="003347BE">
        <w:rPr>
          <w:rFonts w:ascii="Garamond" w:eastAsia="Garamond" w:hAnsi="Garamond" w:cs="Garamond"/>
          <w:sz w:val="22"/>
          <w:szCs w:val="22"/>
        </w:rPr>
        <w:t>, según cifras oficiales del DANE, Esta variación estuvo impulsada principalmente por el aumento en los precios de varias divisiones del gasto de los hogares, entre las que se destacan:</w:t>
      </w:r>
    </w:p>
    <w:p w14:paraId="7381D06C" w14:textId="77777777" w:rsidR="009A1FCD" w:rsidRPr="003347BE" w:rsidRDefault="009A1FCD" w:rsidP="003347BE">
      <w:pPr>
        <w:widowControl/>
        <w:numPr>
          <w:ilvl w:val="0"/>
          <w:numId w:val="38"/>
        </w:numPr>
        <w:spacing w:before="100" w:beforeAutospacing="1" w:after="100" w:afterAutospacing="1"/>
        <w:jc w:val="both"/>
        <w:rPr>
          <w:rFonts w:ascii="Garamond" w:eastAsia="Garamond" w:hAnsi="Garamond" w:cs="Garamond"/>
        </w:rPr>
      </w:pPr>
      <w:r w:rsidRPr="003347BE">
        <w:rPr>
          <w:rFonts w:ascii="Garamond" w:eastAsia="Garamond" w:hAnsi="Garamond" w:cs="Garamond"/>
          <w:b/>
          <w:bCs/>
        </w:rPr>
        <w:t>Alojamiento, agua, electricidad, gas y otros combustibles:</w:t>
      </w:r>
      <w:r w:rsidRPr="003347BE">
        <w:rPr>
          <w:rFonts w:ascii="Garamond" w:eastAsia="Garamond" w:hAnsi="Garamond" w:cs="Garamond"/>
        </w:rPr>
        <w:t xml:space="preserve"> esta división presentó incrementos importantes debido al aumento en tarifas de energía, servicios públicos y combustibles, influenciados por el comportamiento del mercado energético nacional e internacional. </w:t>
      </w:r>
    </w:p>
    <w:p w14:paraId="5625BD56" w14:textId="77777777" w:rsidR="009A1FCD" w:rsidRPr="003347BE" w:rsidRDefault="009A1FCD" w:rsidP="003347BE">
      <w:pPr>
        <w:widowControl/>
        <w:numPr>
          <w:ilvl w:val="0"/>
          <w:numId w:val="38"/>
        </w:numPr>
        <w:spacing w:before="100" w:beforeAutospacing="1" w:after="100" w:afterAutospacing="1"/>
        <w:jc w:val="both"/>
        <w:rPr>
          <w:rFonts w:ascii="Garamond" w:eastAsia="Garamond" w:hAnsi="Garamond" w:cs="Garamond"/>
        </w:rPr>
      </w:pPr>
      <w:r w:rsidRPr="003347BE">
        <w:rPr>
          <w:rFonts w:ascii="Garamond" w:eastAsia="Garamond" w:hAnsi="Garamond" w:cs="Garamond"/>
          <w:b/>
          <w:bCs/>
        </w:rPr>
        <w:t>Alimentos y bebidas no alcohólicas:</w:t>
      </w:r>
      <w:r w:rsidRPr="003347BE">
        <w:rPr>
          <w:rFonts w:ascii="Garamond" w:eastAsia="Garamond" w:hAnsi="Garamond" w:cs="Garamond"/>
        </w:rPr>
        <w:t xml:space="preserve"> esta división registró una de las mayores contribuciones a la inflación mensual, afectada por variaciones en la oferta agrícola, costos de transporte y condiciones climáticas que impactaron el abastecimiento de productos básicos. </w:t>
      </w:r>
    </w:p>
    <w:p w14:paraId="00DD810F" w14:textId="77777777" w:rsidR="009A1FCD" w:rsidRPr="003347BE" w:rsidRDefault="009A1FCD" w:rsidP="003347BE">
      <w:pPr>
        <w:widowControl/>
        <w:numPr>
          <w:ilvl w:val="0"/>
          <w:numId w:val="38"/>
        </w:numPr>
        <w:spacing w:before="100" w:beforeAutospacing="1" w:after="100" w:afterAutospacing="1"/>
        <w:jc w:val="both"/>
        <w:rPr>
          <w:rFonts w:ascii="Garamond" w:eastAsia="Garamond" w:hAnsi="Garamond" w:cs="Garamond"/>
        </w:rPr>
      </w:pPr>
      <w:r w:rsidRPr="003347BE">
        <w:rPr>
          <w:rFonts w:ascii="Garamond" w:eastAsia="Garamond" w:hAnsi="Garamond" w:cs="Garamond"/>
          <w:b/>
          <w:bCs/>
        </w:rPr>
        <w:t>Transporte:</w:t>
      </w:r>
      <w:r w:rsidRPr="003347BE">
        <w:rPr>
          <w:rFonts w:ascii="Garamond" w:eastAsia="Garamond" w:hAnsi="Garamond" w:cs="Garamond"/>
        </w:rPr>
        <w:t xml:space="preserve"> los incrementos en combustibles, mantenimiento y tarifas de transporte público generaron presiones adicionales sobre los precios de esta división, afectando directamente los costos logísticos y de distribución. </w:t>
      </w:r>
    </w:p>
    <w:p w14:paraId="4CACD6BE" w14:textId="77777777" w:rsidR="009A1FCD" w:rsidRPr="003347BE" w:rsidRDefault="009A1FCD" w:rsidP="003347BE">
      <w:pPr>
        <w:widowControl/>
        <w:numPr>
          <w:ilvl w:val="0"/>
          <w:numId w:val="38"/>
        </w:numPr>
        <w:spacing w:before="100" w:beforeAutospacing="1" w:after="100" w:afterAutospacing="1"/>
        <w:jc w:val="both"/>
        <w:rPr>
          <w:rFonts w:ascii="Garamond" w:eastAsia="Garamond" w:hAnsi="Garamond" w:cs="Garamond"/>
        </w:rPr>
      </w:pPr>
      <w:r w:rsidRPr="003347BE">
        <w:rPr>
          <w:rFonts w:ascii="Garamond" w:eastAsia="Garamond" w:hAnsi="Garamond" w:cs="Garamond"/>
          <w:b/>
          <w:bCs/>
        </w:rPr>
        <w:t>Salud:</w:t>
      </w:r>
      <w:r w:rsidRPr="003347BE">
        <w:rPr>
          <w:rFonts w:ascii="Garamond" w:eastAsia="Garamond" w:hAnsi="Garamond" w:cs="Garamond"/>
        </w:rPr>
        <w:t xml:space="preserve"> esta división continuó presentando aumentos asociados al incremento en los costos de medicamentos, servicios médicos y atención especializada. </w:t>
      </w:r>
    </w:p>
    <w:p w14:paraId="1DB71D01" w14:textId="2525645E" w:rsidR="009A1FCD" w:rsidRPr="003347BE" w:rsidRDefault="009A1FCD"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t xml:space="preserve">Según el reporte oficial del IPC publicado por el Departamento Administrativo Nacional de Estadística (DANE), la inflación anual en marzo de 2026 se ubicó en </w:t>
      </w:r>
      <w:r w:rsidRPr="003347BE">
        <w:rPr>
          <w:rFonts w:ascii="Garamond" w:eastAsia="Garamond" w:hAnsi="Garamond" w:cs="Garamond"/>
          <w:b/>
          <w:bCs/>
          <w:sz w:val="22"/>
          <w:szCs w:val="22"/>
        </w:rPr>
        <w:t>5,56%</w:t>
      </w:r>
      <w:r w:rsidRPr="003347BE">
        <w:rPr>
          <w:rFonts w:ascii="Garamond" w:eastAsia="Garamond" w:hAnsi="Garamond" w:cs="Garamond"/>
          <w:sz w:val="22"/>
          <w:szCs w:val="22"/>
        </w:rPr>
        <w:t xml:space="preserve">, mientras que la variación año corrido alcanzó </w:t>
      </w:r>
      <w:r w:rsidRPr="003347BE">
        <w:rPr>
          <w:rFonts w:ascii="Garamond" w:eastAsia="Garamond" w:hAnsi="Garamond" w:cs="Garamond"/>
          <w:b/>
          <w:bCs/>
          <w:sz w:val="22"/>
          <w:szCs w:val="22"/>
        </w:rPr>
        <w:t>3,07%</w:t>
      </w:r>
      <w:r w:rsidRPr="003347BE">
        <w:rPr>
          <w:rFonts w:ascii="Garamond" w:eastAsia="Garamond" w:hAnsi="Garamond" w:cs="Garamond"/>
          <w:sz w:val="22"/>
          <w:szCs w:val="22"/>
        </w:rPr>
        <w:t>, reflejando una persistencia en las presiones inflacionarias sobre la economía colombiana durante el primer trimestre del año.</w:t>
      </w:r>
    </w:p>
    <w:p w14:paraId="4E95982D" w14:textId="77777777" w:rsidR="009A1FCD" w:rsidRPr="003347BE" w:rsidRDefault="009A1FCD"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t>Este comportamiento inflacionario puede afectar directamente el abastecimiento y los precios en el sector, debido al aumento en los costos de producción, transporte, almacenamiento y comercialización de bienes y servicios.</w:t>
      </w:r>
    </w:p>
    <w:p w14:paraId="681F2ACE" w14:textId="5115DB94" w:rsidR="004051D4" w:rsidRPr="003347BE" w:rsidRDefault="004051D4"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lastRenderedPageBreak/>
        <w:t xml:space="preserve">Tal y como se identifica en el reporte de variación IPC mensual generado por el Departamento Administrativo Nacional de Estadística (DANE), en el que es posible validar dicha tendencia, </w:t>
      </w:r>
      <w:proofErr w:type="spellStart"/>
      <w:r w:rsidRPr="003347BE">
        <w:rPr>
          <w:rFonts w:ascii="Garamond" w:eastAsia="Garamond" w:hAnsi="Garamond" w:cs="Garamond"/>
          <w:sz w:val="22"/>
          <w:szCs w:val="22"/>
        </w:rPr>
        <w:t>asi</w:t>
      </w:r>
      <w:proofErr w:type="spellEnd"/>
      <w:r w:rsidRPr="003347BE">
        <w:rPr>
          <w:rFonts w:ascii="Garamond" w:eastAsia="Garamond" w:hAnsi="Garamond" w:cs="Garamond"/>
          <w:sz w:val="22"/>
          <w:szCs w:val="22"/>
        </w:rPr>
        <w:t>:</w:t>
      </w:r>
    </w:p>
    <w:p w14:paraId="0EBA162D" w14:textId="56C1FF0F" w:rsidR="004051D4" w:rsidRDefault="00794769" w:rsidP="00794769">
      <w:pPr>
        <w:spacing w:before="245" w:line="232" w:lineRule="auto"/>
        <w:ind w:right="256"/>
        <w:jc w:val="center"/>
        <w:rPr>
          <w:rFonts w:ascii="Garamond" w:eastAsia="Garamond" w:hAnsi="Garamond" w:cs="Garamond"/>
          <w:color w:val="000000"/>
        </w:rPr>
      </w:pPr>
      <w:r w:rsidRPr="00794769">
        <w:rPr>
          <w:noProof/>
        </w:rPr>
        <w:drawing>
          <wp:inline distT="0" distB="0" distL="0" distR="0" wp14:anchorId="6B62C055" wp14:editId="0A07325A">
            <wp:extent cx="6046237" cy="2242616"/>
            <wp:effectExtent l="0" t="0" r="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52232" cy="2244839"/>
                    </a:xfrm>
                    <a:prstGeom prst="rect">
                      <a:avLst/>
                    </a:prstGeom>
                  </pic:spPr>
                </pic:pic>
              </a:graphicData>
            </a:graphic>
          </wp:inline>
        </w:drawing>
      </w:r>
      <w:hyperlink r:id="rId14" w:anchor="!/" w:history="1">
        <w:r w:rsidR="004051D4" w:rsidRPr="00BC473D">
          <w:rPr>
            <w:rStyle w:val="Hipervnculo"/>
            <w:rFonts w:ascii="Garamond" w:eastAsia="Garamond" w:hAnsi="Garamond" w:cs="Garamond"/>
            <w:b/>
            <w:color w:val="auto"/>
            <w:sz w:val="16"/>
            <w:szCs w:val="16"/>
            <w:shd w:val="clear" w:color="auto" w:fill="FCFCFC"/>
          </w:rPr>
          <w:t>https://sitios.dane.gov.co/ipc/visorIPC/#!/</w:t>
        </w:r>
      </w:hyperlink>
    </w:p>
    <w:p w14:paraId="1CD87312" w14:textId="77777777" w:rsidR="003347BE" w:rsidRDefault="003347BE" w:rsidP="003347BE">
      <w:pPr>
        <w:spacing w:before="245" w:line="232" w:lineRule="auto"/>
        <w:ind w:right="256"/>
        <w:jc w:val="both"/>
        <w:rPr>
          <w:rFonts w:ascii="Garamond" w:eastAsia="Garamond" w:hAnsi="Garamond" w:cs="Garamond"/>
          <w:color w:val="FF0000"/>
        </w:rPr>
      </w:pPr>
    </w:p>
    <w:p w14:paraId="698A83E0" w14:textId="7A57FED7" w:rsidR="003347BE" w:rsidRPr="003347BE" w:rsidRDefault="003347BE" w:rsidP="003347BE">
      <w:pPr>
        <w:spacing w:before="245" w:line="232" w:lineRule="auto"/>
        <w:ind w:right="256"/>
        <w:jc w:val="both"/>
        <w:rPr>
          <w:rFonts w:ascii="Garamond" w:eastAsia="Garamond" w:hAnsi="Garamond" w:cs="Garamond"/>
          <w:b/>
        </w:rPr>
      </w:pPr>
      <w:r w:rsidRPr="003347BE">
        <w:rPr>
          <w:rFonts w:ascii="Garamond" w:eastAsia="Garamond" w:hAnsi="Garamond" w:cs="Garamond"/>
          <w:b/>
        </w:rPr>
        <w:t>Comportamiento Anual del IPC</w:t>
      </w:r>
    </w:p>
    <w:p w14:paraId="3E2BE4BB" w14:textId="090FF3E4" w:rsidR="003347BE" w:rsidRPr="003347BE" w:rsidRDefault="003347BE"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t xml:space="preserve">La variación anual del Índice de Precios al Consumidor (IPC) en Colombia para marzo de 2026 fue de </w:t>
      </w:r>
      <w:r w:rsidRPr="003347BE">
        <w:rPr>
          <w:rFonts w:ascii="Garamond" w:eastAsia="Garamond" w:hAnsi="Garamond" w:cs="Garamond"/>
          <w:b/>
          <w:bCs/>
          <w:sz w:val="22"/>
          <w:szCs w:val="22"/>
        </w:rPr>
        <w:t>5,56%</w:t>
      </w:r>
      <w:r w:rsidRPr="003347BE">
        <w:rPr>
          <w:rFonts w:ascii="Garamond" w:eastAsia="Garamond" w:hAnsi="Garamond" w:cs="Garamond"/>
          <w:sz w:val="22"/>
          <w:szCs w:val="22"/>
        </w:rPr>
        <w:t xml:space="preserve">, según cifras oficiales publicadas por el DANE, Este resultado representa un incremento frente al </w:t>
      </w:r>
      <w:r w:rsidRPr="003347BE">
        <w:rPr>
          <w:rFonts w:ascii="Garamond" w:eastAsia="Garamond" w:hAnsi="Garamond" w:cs="Garamond"/>
          <w:b/>
          <w:bCs/>
          <w:sz w:val="22"/>
          <w:szCs w:val="22"/>
        </w:rPr>
        <w:t>5,09%</w:t>
      </w:r>
      <w:r w:rsidRPr="003347BE">
        <w:rPr>
          <w:rFonts w:ascii="Garamond" w:eastAsia="Garamond" w:hAnsi="Garamond" w:cs="Garamond"/>
          <w:sz w:val="22"/>
          <w:szCs w:val="22"/>
        </w:rPr>
        <w:t xml:space="preserve"> registrado en marzo de 2025, evidenciando un repunte moderado de la inflación anual durante el primer trimestre de 2026.</w:t>
      </w:r>
    </w:p>
    <w:p w14:paraId="34F2BCC4" w14:textId="77777777" w:rsidR="003347BE" w:rsidRPr="003347BE" w:rsidRDefault="003347BE"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t>El comportamiento del IPC refleja las presiones inflacionarias generadas principalmente por el aumento en los precios de alimentos, transporte, combustibles, servicios públicos y algunos servicios relacionados con salud y restaurantes. Asimismo, factores externos como la volatilidad en los precios internacionales de materias primas y combustibles han influido en el comportamiento de los costos internos de la economía colombiana.</w:t>
      </w:r>
    </w:p>
    <w:p w14:paraId="5F407515" w14:textId="11A64786" w:rsidR="003347BE" w:rsidRPr="003347BE" w:rsidRDefault="003347BE"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t>A pesar de que el Banco de la Republica ha mantenido políticas monetarias orientadas al control de la inflación, la variación anual continúa por encima de la meta objetivo establecida por la entidad, situada alrededor del 3%. Esto indica que aún persisten desafíos asociados al control de precios y a la estabilidad del costo de vida en el país.</w:t>
      </w:r>
    </w:p>
    <w:p w14:paraId="46D88437" w14:textId="77777777" w:rsidR="003347BE" w:rsidRPr="003347BE" w:rsidRDefault="003347BE" w:rsidP="003347BE">
      <w:pPr>
        <w:pStyle w:val="NormalWeb"/>
        <w:jc w:val="both"/>
        <w:rPr>
          <w:rFonts w:ascii="Garamond" w:eastAsia="Garamond" w:hAnsi="Garamond" w:cs="Garamond"/>
          <w:sz w:val="22"/>
          <w:szCs w:val="22"/>
        </w:rPr>
      </w:pPr>
      <w:r w:rsidRPr="003347BE">
        <w:rPr>
          <w:rFonts w:ascii="Garamond" w:eastAsia="Garamond" w:hAnsi="Garamond" w:cs="Garamond"/>
          <w:sz w:val="22"/>
          <w:szCs w:val="22"/>
        </w:rPr>
        <w:t>De acuerdo con análisis económicos recientes, la inflación de 2026 también ha estado influenciada por el incremento en tarifas energéticas, ajustes en combustibles y mayores costos logísticos, factores que impactan directamente el abastecimiento y los precios de bienes y servicios en diferentes sectores económicos. Como consecuencia, las empresas enfrentan mayores costos operativos y de distribución, situación que puede trasladarse al consumidor final mediante incrementos en precios.</w:t>
      </w:r>
    </w:p>
    <w:p w14:paraId="7AEC8CA7" w14:textId="25145FA5" w:rsidR="003347BE" w:rsidRPr="00E14BF7" w:rsidRDefault="00E14BF7" w:rsidP="00E14BF7">
      <w:pPr>
        <w:spacing w:before="245" w:line="232" w:lineRule="auto"/>
        <w:ind w:right="256"/>
        <w:jc w:val="both"/>
        <w:rPr>
          <w:rFonts w:ascii="Garamond" w:eastAsia="Garamond" w:hAnsi="Garamond" w:cs="Garamond"/>
          <w:b/>
        </w:rPr>
      </w:pPr>
      <w:r>
        <w:rPr>
          <w:rFonts w:ascii="Garamond" w:eastAsia="Garamond" w:hAnsi="Garamond" w:cs="Garamond"/>
          <w:b/>
        </w:rPr>
        <w:lastRenderedPageBreak/>
        <w:t>Inflación</w:t>
      </w:r>
    </w:p>
    <w:p w14:paraId="5EA44365" w14:textId="3FBA3E33" w:rsidR="004051D4" w:rsidRDefault="00E14BF7" w:rsidP="00E14BF7">
      <w:pPr>
        <w:spacing w:before="245" w:line="232" w:lineRule="auto"/>
        <w:ind w:left="262" w:right="256"/>
        <w:jc w:val="center"/>
        <w:rPr>
          <w:rFonts w:ascii="Garamond" w:eastAsia="Garamond" w:hAnsi="Garamond" w:cs="Garamond"/>
          <w:color w:val="000000"/>
        </w:rPr>
      </w:pPr>
      <w:r w:rsidRPr="00E14BF7">
        <w:rPr>
          <w:rFonts w:ascii="Garamond" w:eastAsia="Garamond" w:hAnsi="Garamond" w:cs="Garamond"/>
          <w:noProof/>
          <w:color w:val="000000"/>
        </w:rPr>
        <w:drawing>
          <wp:inline distT="0" distB="0" distL="0" distR="0" wp14:anchorId="6A52FA38" wp14:editId="3FC2ADD6">
            <wp:extent cx="5939596" cy="3459231"/>
            <wp:effectExtent l="0" t="0" r="4445" b="825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2546" cy="3460949"/>
                    </a:xfrm>
                    <a:prstGeom prst="rect">
                      <a:avLst/>
                    </a:prstGeom>
                  </pic:spPr>
                </pic:pic>
              </a:graphicData>
            </a:graphic>
          </wp:inline>
        </w:drawing>
      </w:r>
    </w:p>
    <w:p w14:paraId="71682A86" w14:textId="6ADB3B51" w:rsidR="005A7192" w:rsidRDefault="005A7192" w:rsidP="00E14BF7">
      <w:pPr>
        <w:spacing w:before="245" w:line="232" w:lineRule="auto"/>
        <w:ind w:left="262" w:right="256"/>
        <w:rPr>
          <w:rFonts w:ascii="Garamond" w:eastAsia="Garamond" w:hAnsi="Garamond" w:cs="Garamond"/>
          <w:color w:val="000000"/>
        </w:rPr>
      </w:pPr>
      <w:r w:rsidRPr="005A7192">
        <w:rPr>
          <w:rFonts w:ascii="Garamond" w:eastAsia="Garamond" w:hAnsi="Garamond" w:cs="Garamond"/>
          <w:noProof/>
          <w:color w:val="000000"/>
        </w:rPr>
        <w:drawing>
          <wp:inline distT="0" distB="0" distL="0" distR="0" wp14:anchorId="777F8669" wp14:editId="54B8E4CD">
            <wp:extent cx="5873857" cy="1231928"/>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96775" cy="1257708"/>
                    </a:xfrm>
                    <a:prstGeom prst="rect">
                      <a:avLst/>
                    </a:prstGeom>
                  </pic:spPr>
                </pic:pic>
              </a:graphicData>
            </a:graphic>
          </wp:inline>
        </w:drawing>
      </w:r>
    </w:p>
    <w:p w14:paraId="5EBA515B" w14:textId="77777777" w:rsidR="004051D4" w:rsidRPr="00BC473D" w:rsidRDefault="004051D4" w:rsidP="00BC473D">
      <w:pPr>
        <w:spacing w:before="245" w:line="232" w:lineRule="auto"/>
        <w:ind w:right="256"/>
        <w:jc w:val="center"/>
        <w:rPr>
          <w:sz w:val="16"/>
          <w:szCs w:val="16"/>
          <w:u w:val="single"/>
          <w:shd w:val="clear" w:color="auto" w:fill="FCFCFC"/>
        </w:rPr>
      </w:pPr>
      <w:r w:rsidRPr="00BC473D">
        <w:rPr>
          <w:sz w:val="16"/>
          <w:szCs w:val="16"/>
          <w:u w:val="single"/>
          <w:shd w:val="clear" w:color="auto" w:fill="FCFCFC"/>
        </w:rPr>
        <w:t>https://suameca.banrep.gov.co/graficador-series/#/grafica/15270</w:t>
      </w:r>
    </w:p>
    <w:p w14:paraId="2CCFFDD4" w14:textId="77777777" w:rsidR="004051D4" w:rsidRDefault="004051D4" w:rsidP="004051D4">
      <w:pPr>
        <w:spacing w:before="245" w:line="232" w:lineRule="auto"/>
        <w:ind w:left="262" w:right="256"/>
        <w:jc w:val="both"/>
        <w:rPr>
          <w:rFonts w:ascii="Garamond" w:eastAsia="Garamond" w:hAnsi="Garamond" w:cs="Garamond"/>
          <w:b/>
          <w:color w:val="000000"/>
        </w:rPr>
      </w:pPr>
      <w:r>
        <w:rPr>
          <w:rFonts w:ascii="Garamond" w:eastAsia="Garamond" w:hAnsi="Garamond" w:cs="Garamond"/>
          <w:b/>
          <w:color w:val="000000"/>
        </w:rPr>
        <w:t>Implicaciones para la Economía</w:t>
      </w:r>
    </w:p>
    <w:p w14:paraId="70E1FAE4" w14:textId="77777777" w:rsidR="000D4DB7" w:rsidRPr="000D4DB7" w:rsidRDefault="000D4DB7" w:rsidP="000D4DB7">
      <w:pPr>
        <w:pStyle w:val="NormalWeb"/>
        <w:jc w:val="both"/>
        <w:rPr>
          <w:rFonts w:ascii="Garamond" w:eastAsia="Garamond" w:hAnsi="Garamond" w:cs="Garamond"/>
          <w:sz w:val="22"/>
          <w:szCs w:val="22"/>
        </w:rPr>
      </w:pPr>
      <w:r w:rsidRPr="000D4DB7">
        <w:rPr>
          <w:rFonts w:ascii="Garamond" w:eastAsia="Garamond" w:hAnsi="Garamond" w:cs="Garamond"/>
          <w:sz w:val="22"/>
          <w:szCs w:val="22"/>
        </w:rPr>
        <w:t xml:space="preserve">La variación del Índice de Precios al Consumidor (IPC) continúa teniendo importantes implicaciones sobre la economía colombiana durante 2026, debido a que afecta directamente la capacidad adquisitiva de los hogares, la estabilidad financiera de las empresas y el comportamiento del consumo. Según cifras oficiales del </w:t>
      </w:r>
      <w:hyperlink r:id="rId17" w:tgtFrame="_new" w:history="1">
        <w:r w:rsidRPr="000D4DB7">
          <w:rPr>
            <w:rFonts w:ascii="Garamond" w:eastAsia="Garamond" w:hAnsi="Garamond" w:cs="Garamond"/>
            <w:sz w:val="22"/>
            <w:szCs w:val="22"/>
          </w:rPr>
          <w:t>DANE</w:t>
        </w:r>
      </w:hyperlink>
      <w:r w:rsidRPr="000D4DB7">
        <w:rPr>
          <w:rFonts w:ascii="Garamond" w:eastAsia="Garamond" w:hAnsi="Garamond" w:cs="Garamond"/>
          <w:sz w:val="22"/>
          <w:szCs w:val="22"/>
        </w:rPr>
        <w:t xml:space="preserve">, la inflación anual en Colombia para abril de 2026 se ubicó en aproximadamente </w:t>
      </w:r>
      <w:r w:rsidRPr="000D4DB7">
        <w:rPr>
          <w:rFonts w:ascii="Garamond" w:eastAsia="Garamond" w:hAnsi="Garamond" w:cs="Garamond"/>
          <w:b/>
          <w:bCs/>
          <w:sz w:val="22"/>
          <w:szCs w:val="22"/>
        </w:rPr>
        <w:t>5,68%</w:t>
      </w:r>
      <w:r w:rsidRPr="000D4DB7">
        <w:rPr>
          <w:rFonts w:ascii="Garamond" w:eastAsia="Garamond" w:hAnsi="Garamond" w:cs="Garamond"/>
          <w:sz w:val="22"/>
          <w:szCs w:val="22"/>
        </w:rPr>
        <w:t>, evidenciando un incremento moderado frente al comportamiento registrado en 2025.</w:t>
      </w:r>
    </w:p>
    <w:p w14:paraId="2862F5B0" w14:textId="77777777" w:rsidR="000D4DB7" w:rsidRPr="000D4DB7" w:rsidRDefault="000D4DB7" w:rsidP="000D4DB7">
      <w:pPr>
        <w:pStyle w:val="NormalWeb"/>
        <w:jc w:val="both"/>
        <w:rPr>
          <w:rFonts w:ascii="Garamond" w:eastAsia="Garamond" w:hAnsi="Garamond" w:cs="Garamond"/>
          <w:sz w:val="22"/>
          <w:szCs w:val="22"/>
        </w:rPr>
      </w:pPr>
      <w:r w:rsidRPr="000D4DB7">
        <w:rPr>
          <w:rFonts w:ascii="Garamond" w:eastAsia="Garamond" w:hAnsi="Garamond" w:cs="Garamond"/>
          <w:sz w:val="22"/>
          <w:szCs w:val="22"/>
        </w:rPr>
        <w:lastRenderedPageBreak/>
        <w:t>El aumento sostenido en los precios de bienes y servicios genera una disminución en el poder adquisitivo de los hogares colombianos, especialmente en productos básicos, transporte, salud, servicios públicos y alimentos. Como consecuencia, los consumidores tienden a reducir o priorizar sus gastos, afectando la dinámica comercial y la demanda de diferentes sectores económicos.</w:t>
      </w:r>
    </w:p>
    <w:p w14:paraId="77783A53" w14:textId="77777777" w:rsidR="000D4DB7" w:rsidRPr="000D4DB7" w:rsidRDefault="000D4DB7" w:rsidP="000D4DB7">
      <w:pPr>
        <w:pStyle w:val="NormalWeb"/>
        <w:jc w:val="both"/>
        <w:rPr>
          <w:rFonts w:ascii="Garamond" w:eastAsia="Garamond" w:hAnsi="Garamond" w:cs="Garamond"/>
          <w:sz w:val="22"/>
          <w:szCs w:val="22"/>
        </w:rPr>
      </w:pPr>
      <w:r w:rsidRPr="000D4DB7">
        <w:rPr>
          <w:rFonts w:ascii="Garamond" w:eastAsia="Garamond" w:hAnsi="Garamond" w:cs="Garamond"/>
          <w:sz w:val="22"/>
          <w:szCs w:val="22"/>
        </w:rPr>
        <w:t>Asimismo, el sector terciario o de servicios también presenta afectaciones derivadas del incremento en los costos operativos, administrativos y logísticos. Muchas empresas dedicadas a la prestación de servicios enfrentan mayores gastos en transporte, energía, insumos y nómina, situación que puede generar desequilibrios económicos, menor captación de clientes y reducción en los niveles de liquidez.</w:t>
      </w:r>
    </w:p>
    <w:p w14:paraId="5A6276BD" w14:textId="77777777" w:rsidR="000D4DB7" w:rsidRPr="000D4DB7" w:rsidRDefault="000D4DB7" w:rsidP="000D4DB7">
      <w:pPr>
        <w:pStyle w:val="NormalWeb"/>
        <w:jc w:val="both"/>
        <w:rPr>
          <w:rFonts w:ascii="Garamond" w:eastAsia="Garamond" w:hAnsi="Garamond" w:cs="Garamond"/>
          <w:sz w:val="22"/>
          <w:szCs w:val="22"/>
        </w:rPr>
      </w:pPr>
      <w:r w:rsidRPr="000D4DB7">
        <w:rPr>
          <w:rFonts w:ascii="Garamond" w:eastAsia="Garamond" w:hAnsi="Garamond" w:cs="Garamond"/>
          <w:sz w:val="22"/>
          <w:szCs w:val="22"/>
        </w:rPr>
        <w:t xml:space="preserve">Aunque el </w:t>
      </w:r>
      <w:hyperlink r:id="rId18" w:tgtFrame="_new" w:history="1">
        <w:r w:rsidRPr="000D4DB7">
          <w:rPr>
            <w:rFonts w:ascii="Garamond" w:eastAsia="Garamond" w:hAnsi="Garamond" w:cs="Garamond"/>
            <w:sz w:val="22"/>
            <w:szCs w:val="22"/>
          </w:rPr>
          <w:t>Banco de la República</w:t>
        </w:r>
      </w:hyperlink>
      <w:r w:rsidRPr="000D4DB7">
        <w:rPr>
          <w:rFonts w:ascii="Garamond" w:eastAsia="Garamond" w:hAnsi="Garamond" w:cs="Garamond"/>
          <w:sz w:val="22"/>
          <w:szCs w:val="22"/>
        </w:rPr>
        <w:t xml:space="preserve"> mantiene políticas monetarias orientadas al control de la inflación mediante ajustes en las tasas de interés, factores como el aumento en combustibles, servicios públicos y costos logísticos continúan ejerciendo presión sobre los precios y el abastecimiento en Colombia.</w:t>
      </w:r>
    </w:p>
    <w:p w14:paraId="000D95A1" w14:textId="77777777" w:rsidR="004051D4" w:rsidRDefault="004051D4" w:rsidP="004051D4">
      <w:pPr>
        <w:spacing w:before="35"/>
        <w:rPr>
          <w:rFonts w:ascii="Garamond" w:eastAsia="Garamond" w:hAnsi="Garamond" w:cs="Garamond"/>
          <w:color w:val="000000"/>
        </w:rPr>
      </w:pPr>
    </w:p>
    <w:p w14:paraId="2431EC0D" w14:textId="77777777" w:rsidR="004051D4" w:rsidRDefault="004051D4" w:rsidP="005A6698">
      <w:pPr>
        <w:numPr>
          <w:ilvl w:val="0"/>
          <w:numId w:val="6"/>
        </w:numPr>
        <w:jc w:val="both"/>
        <w:rPr>
          <w:rFonts w:ascii="Garamond" w:eastAsia="Garamond" w:hAnsi="Garamond" w:cs="Garamond"/>
          <w:b/>
          <w:color w:val="000000"/>
        </w:rPr>
      </w:pPr>
      <w:r>
        <w:rPr>
          <w:rFonts w:ascii="Garamond" w:eastAsia="Garamond" w:hAnsi="Garamond" w:cs="Garamond"/>
          <w:b/>
          <w:color w:val="000000"/>
        </w:rPr>
        <w:t>Salario Mínimo Legal Vigente (SMLMV) y la Tasa de Cambio en el Sector Económico</w:t>
      </w:r>
    </w:p>
    <w:p w14:paraId="2A3968CC" w14:textId="77777777" w:rsidR="004051D4" w:rsidRDefault="004051D4" w:rsidP="004051D4">
      <w:pPr>
        <w:rPr>
          <w:rFonts w:ascii="Garamond" w:eastAsia="Garamond" w:hAnsi="Garamond" w:cs="Garamond"/>
        </w:rPr>
      </w:pPr>
    </w:p>
    <w:p w14:paraId="0181534A" w14:textId="77777777" w:rsidR="000D4DB7" w:rsidRPr="00C04E95" w:rsidRDefault="000D4DB7" w:rsidP="00C04E95">
      <w:pPr>
        <w:pStyle w:val="NormalWeb"/>
        <w:jc w:val="both"/>
        <w:rPr>
          <w:rFonts w:ascii="Garamond" w:eastAsia="Garamond" w:hAnsi="Garamond" w:cs="Garamond"/>
          <w:sz w:val="22"/>
          <w:szCs w:val="22"/>
        </w:rPr>
      </w:pPr>
      <w:r w:rsidRPr="00C04E95">
        <w:rPr>
          <w:rFonts w:ascii="Garamond" w:eastAsia="Garamond" w:hAnsi="Garamond" w:cs="Garamond"/>
          <w:sz w:val="22"/>
          <w:szCs w:val="22"/>
        </w:rPr>
        <w:t>El Salario Mínimo Legal Vigente (SMLMV) y la tasa de cambio son variables económicas fundamentales que pueden tener un impacto significativo en el abastecimiento, los costos operativos y los precios en diversos sectores económicos, especialmente en el sector terciario o de servicios.</w:t>
      </w:r>
    </w:p>
    <w:p w14:paraId="3B0B8AD0" w14:textId="1583D937" w:rsidR="000D4DB7" w:rsidRPr="00C04E95" w:rsidRDefault="000D4DB7" w:rsidP="000D4DB7">
      <w:pPr>
        <w:pStyle w:val="NormalWeb"/>
        <w:numPr>
          <w:ilvl w:val="0"/>
          <w:numId w:val="38"/>
        </w:numPr>
        <w:rPr>
          <w:rFonts w:ascii="Garamond" w:eastAsia="Garamond" w:hAnsi="Garamond" w:cs="Garamond"/>
          <w:b/>
          <w:color w:val="000000"/>
          <w:sz w:val="22"/>
          <w:szCs w:val="22"/>
        </w:rPr>
      </w:pPr>
      <w:r w:rsidRPr="00C04E95">
        <w:rPr>
          <w:rFonts w:ascii="Garamond" w:eastAsia="Garamond" w:hAnsi="Garamond" w:cs="Garamond"/>
          <w:b/>
          <w:color w:val="000000"/>
          <w:sz w:val="22"/>
          <w:szCs w:val="22"/>
        </w:rPr>
        <w:t xml:space="preserve">Salario Mínimo Legal Vigente (SMLMV) </w:t>
      </w:r>
    </w:p>
    <w:p w14:paraId="127A91DB" w14:textId="5E09DA60" w:rsidR="000D4DB7" w:rsidRPr="00C04E95" w:rsidRDefault="000D4DB7" w:rsidP="00C04E95">
      <w:pPr>
        <w:pStyle w:val="NormalWeb"/>
        <w:jc w:val="both"/>
        <w:rPr>
          <w:rFonts w:ascii="Garamond" w:eastAsia="Garamond" w:hAnsi="Garamond" w:cs="Garamond"/>
          <w:sz w:val="22"/>
          <w:szCs w:val="22"/>
        </w:rPr>
      </w:pPr>
      <w:r w:rsidRPr="00C04E95">
        <w:rPr>
          <w:rFonts w:ascii="Garamond" w:eastAsia="Garamond" w:hAnsi="Garamond" w:cs="Garamond"/>
          <w:sz w:val="22"/>
          <w:szCs w:val="22"/>
        </w:rPr>
        <w:t xml:space="preserve">Para el año 2026, el Gobierno Nacional de Colombia estableció el Salario Mínimo Legal Vigente en aproximadamente </w:t>
      </w:r>
      <w:r w:rsidRPr="00C04E95">
        <w:rPr>
          <w:rFonts w:ascii="Garamond" w:eastAsia="Garamond" w:hAnsi="Garamond" w:cs="Garamond"/>
          <w:b/>
          <w:bCs/>
          <w:sz w:val="22"/>
          <w:szCs w:val="22"/>
        </w:rPr>
        <w:t>$1.800.000 mensuales</w:t>
      </w:r>
      <w:r w:rsidRPr="00C04E95">
        <w:rPr>
          <w:rFonts w:ascii="Garamond" w:eastAsia="Garamond" w:hAnsi="Garamond" w:cs="Garamond"/>
          <w:sz w:val="22"/>
          <w:szCs w:val="22"/>
        </w:rPr>
        <w:t>, incluyendo el auxilio de transporte, como resultado de los ajustes salariales orientados a compensar el incremento del costo de vida y la inflación.</w:t>
      </w:r>
    </w:p>
    <w:p w14:paraId="033A2AC5" w14:textId="0AE99A1B" w:rsidR="000D4DB7" w:rsidRDefault="000D4DB7" w:rsidP="00E14BF7">
      <w:pPr>
        <w:pStyle w:val="NormalWeb"/>
        <w:spacing w:before="0" w:beforeAutospacing="0" w:after="0" w:afterAutospacing="0"/>
        <w:rPr>
          <w:rFonts w:ascii="Garamond" w:eastAsia="Garamond" w:hAnsi="Garamond" w:cs="Garamond"/>
          <w:sz w:val="22"/>
          <w:szCs w:val="22"/>
        </w:rPr>
      </w:pPr>
      <w:r w:rsidRPr="00C04E95">
        <w:rPr>
          <w:rFonts w:ascii="Garamond" w:eastAsia="Garamond" w:hAnsi="Garamond" w:cs="Garamond"/>
          <w:sz w:val="22"/>
          <w:szCs w:val="22"/>
        </w:rPr>
        <w:t>El aumento del SMLMV puede generar efectos positivos y negativos sobre la economía:</w:t>
      </w:r>
    </w:p>
    <w:p w14:paraId="3EC9C178" w14:textId="77777777" w:rsidR="00E14BF7" w:rsidRPr="00C04E95" w:rsidRDefault="00E14BF7" w:rsidP="00E14BF7">
      <w:pPr>
        <w:pStyle w:val="NormalWeb"/>
        <w:spacing w:before="0" w:beforeAutospacing="0" w:after="0" w:afterAutospacing="0"/>
        <w:rPr>
          <w:rFonts w:ascii="Garamond" w:eastAsia="Garamond" w:hAnsi="Garamond" w:cs="Garamond"/>
          <w:sz w:val="22"/>
          <w:szCs w:val="22"/>
        </w:rPr>
      </w:pPr>
    </w:p>
    <w:p w14:paraId="14F3E7AF" w14:textId="5D0FF341" w:rsidR="000D4DB7" w:rsidRDefault="000D4DB7" w:rsidP="00E14BF7">
      <w:pPr>
        <w:spacing w:line="232" w:lineRule="auto"/>
        <w:ind w:left="262" w:right="256"/>
        <w:jc w:val="both"/>
        <w:rPr>
          <w:rFonts w:ascii="Garamond" w:eastAsia="Garamond" w:hAnsi="Garamond" w:cs="Garamond"/>
          <w:b/>
          <w:color w:val="000000"/>
        </w:rPr>
      </w:pPr>
      <w:r w:rsidRPr="000D4DB7">
        <w:rPr>
          <w:rFonts w:ascii="Garamond" w:eastAsia="Garamond" w:hAnsi="Garamond" w:cs="Garamond"/>
          <w:b/>
          <w:color w:val="000000"/>
        </w:rPr>
        <w:t>Efectos Positivos</w:t>
      </w:r>
    </w:p>
    <w:p w14:paraId="47F3FC93" w14:textId="77777777" w:rsidR="00E14BF7" w:rsidRPr="000D4DB7" w:rsidRDefault="00E14BF7" w:rsidP="00E14BF7">
      <w:pPr>
        <w:spacing w:line="232" w:lineRule="auto"/>
        <w:ind w:left="262" w:right="256"/>
        <w:jc w:val="both"/>
        <w:rPr>
          <w:rFonts w:ascii="Garamond" w:eastAsia="Garamond" w:hAnsi="Garamond" w:cs="Garamond"/>
          <w:b/>
          <w:color w:val="000000"/>
        </w:rPr>
      </w:pPr>
    </w:p>
    <w:p w14:paraId="46A82200" w14:textId="64836F5B" w:rsidR="00E14BF7" w:rsidRPr="00E14BF7" w:rsidRDefault="000D4DB7" w:rsidP="00E14BF7">
      <w:pPr>
        <w:widowControl/>
        <w:numPr>
          <w:ilvl w:val="0"/>
          <w:numId w:val="39"/>
        </w:numPr>
        <w:jc w:val="both"/>
        <w:rPr>
          <w:rFonts w:ascii="Garamond" w:eastAsia="Garamond" w:hAnsi="Garamond" w:cs="Garamond"/>
        </w:rPr>
      </w:pPr>
      <w:r w:rsidRPr="00C04E95">
        <w:rPr>
          <w:rFonts w:ascii="Garamond" w:eastAsia="Garamond" w:hAnsi="Garamond" w:cs="Garamond"/>
          <w:b/>
          <w:bCs/>
        </w:rPr>
        <w:t>Aumento del poder adquisitivo de los trabajadores:</w:t>
      </w:r>
      <w:r w:rsidRPr="00C04E95">
        <w:rPr>
          <w:rFonts w:ascii="Garamond" w:eastAsia="Garamond" w:hAnsi="Garamond" w:cs="Garamond"/>
        </w:rPr>
        <w:t xml:space="preserve"> el incremento salarial puede mejorar la capacidad de compra de los hogares, estimulando la demanda de bienes y servicios y favoreciendo la actividad económica. </w:t>
      </w:r>
    </w:p>
    <w:p w14:paraId="366315CF" w14:textId="22219D6A" w:rsidR="00E14BF7" w:rsidRPr="00E14BF7" w:rsidRDefault="000D4DB7" w:rsidP="00E14BF7">
      <w:pPr>
        <w:widowControl/>
        <w:numPr>
          <w:ilvl w:val="0"/>
          <w:numId w:val="39"/>
        </w:numPr>
        <w:jc w:val="both"/>
        <w:rPr>
          <w:rFonts w:ascii="Garamond" w:eastAsia="Garamond" w:hAnsi="Garamond" w:cs="Garamond"/>
        </w:rPr>
      </w:pPr>
      <w:r w:rsidRPr="00C04E95">
        <w:rPr>
          <w:rFonts w:ascii="Garamond" w:eastAsia="Garamond" w:hAnsi="Garamond" w:cs="Garamond"/>
          <w:b/>
          <w:bCs/>
        </w:rPr>
        <w:t>Mejora en la calidad de vida:</w:t>
      </w:r>
      <w:r w:rsidRPr="00C04E95">
        <w:rPr>
          <w:rFonts w:ascii="Garamond" w:eastAsia="Garamond" w:hAnsi="Garamond" w:cs="Garamond"/>
        </w:rPr>
        <w:t xml:space="preserve"> un mayor ingreso puede contribuir al bienestar de los trabajadores y sus familias, impactando positivamente aspectos como salud, educación y productividad laboral. </w:t>
      </w:r>
    </w:p>
    <w:p w14:paraId="502BD566" w14:textId="5A201DD1" w:rsidR="000D4DB7" w:rsidRPr="000D4DB7" w:rsidRDefault="000D4DB7" w:rsidP="000D4DB7">
      <w:pPr>
        <w:spacing w:before="245" w:line="232" w:lineRule="auto"/>
        <w:ind w:left="262" w:right="256"/>
        <w:jc w:val="both"/>
        <w:rPr>
          <w:rFonts w:ascii="Garamond" w:eastAsia="Garamond" w:hAnsi="Garamond" w:cs="Garamond"/>
          <w:b/>
          <w:color w:val="000000"/>
        </w:rPr>
      </w:pPr>
      <w:r w:rsidRPr="00C04E95">
        <w:rPr>
          <w:rFonts w:ascii="Garamond" w:eastAsia="Garamond" w:hAnsi="Garamond" w:cs="Garamond"/>
          <w:b/>
          <w:color w:val="000000"/>
        </w:rPr>
        <w:t>Efectos Negativos</w:t>
      </w:r>
    </w:p>
    <w:p w14:paraId="31CA85D9" w14:textId="77777777" w:rsidR="000D4DB7" w:rsidRPr="00C04E95" w:rsidRDefault="000D4DB7" w:rsidP="000D4DB7">
      <w:pPr>
        <w:widowControl/>
        <w:numPr>
          <w:ilvl w:val="0"/>
          <w:numId w:val="40"/>
        </w:numPr>
        <w:spacing w:before="100" w:beforeAutospacing="1" w:after="100" w:afterAutospacing="1"/>
        <w:rPr>
          <w:rFonts w:ascii="Garamond" w:eastAsia="Garamond" w:hAnsi="Garamond" w:cs="Garamond"/>
        </w:rPr>
      </w:pPr>
      <w:r w:rsidRPr="00C04E95">
        <w:rPr>
          <w:rFonts w:ascii="Garamond" w:eastAsia="Garamond" w:hAnsi="Garamond" w:cs="Garamond"/>
          <w:b/>
          <w:bCs/>
        </w:rPr>
        <w:t>Aumento de los costos laborales:</w:t>
      </w:r>
      <w:r w:rsidRPr="00C04E95">
        <w:rPr>
          <w:rFonts w:ascii="Garamond" w:eastAsia="Garamond" w:hAnsi="Garamond" w:cs="Garamond"/>
        </w:rPr>
        <w:t xml:space="preserve"> el incremento del salario mínimo genera mayores costos para las empresas, especialmente para pequeñas y medianas organizaciones del sector servicios. </w:t>
      </w:r>
    </w:p>
    <w:p w14:paraId="6C4A42E2" w14:textId="0F57BACF" w:rsidR="004051D4" w:rsidRPr="00C04E95" w:rsidRDefault="000D4DB7" w:rsidP="00C04E95">
      <w:pPr>
        <w:widowControl/>
        <w:numPr>
          <w:ilvl w:val="0"/>
          <w:numId w:val="40"/>
        </w:numPr>
        <w:spacing w:before="100" w:beforeAutospacing="1" w:after="100" w:afterAutospacing="1"/>
        <w:rPr>
          <w:rFonts w:ascii="Garamond" w:eastAsia="Garamond" w:hAnsi="Garamond" w:cs="Garamond"/>
        </w:rPr>
      </w:pPr>
      <w:r w:rsidRPr="00C04E95">
        <w:rPr>
          <w:rFonts w:ascii="Garamond" w:eastAsia="Garamond" w:hAnsi="Garamond" w:cs="Garamond"/>
          <w:b/>
          <w:bCs/>
        </w:rPr>
        <w:lastRenderedPageBreak/>
        <w:t>Posibles presiones inflacionarias:</w:t>
      </w:r>
      <w:r w:rsidRPr="00C04E95">
        <w:rPr>
          <w:rFonts w:ascii="Garamond" w:eastAsia="Garamond" w:hAnsi="Garamond" w:cs="Garamond"/>
        </w:rPr>
        <w:t xml:space="preserve"> algunas empresas trasladan el aumento de los costos laborales al precio final de bienes y servicios, contribuyendo al incremento general de precios.</w:t>
      </w:r>
    </w:p>
    <w:p w14:paraId="02806F1C" w14:textId="4604D35C" w:rsidR="004051D4" w:rsidRPr="00FA7473" w:rsidRDefault="004051D4" w:rsidP="00FA7473">
      <w:pPr>
        <w:spacing w:before="245" w:line="232" w:lineRule="auto"/>
        <w:ind w:left="262" w:right="256"/>
        <w:jc w:val="both"/>
        <w:rPr>
          <w:rFonts w:ascii="Garamond" w:eastAsia="Garamond" w:hAnsi="Garamond" w:cs="Garamond"/>
          <w:b/>
          <w:bCs/>
        </w:rPr>
      </w:pPr>
      <w:r w:rsidRPr="00C04E95">
        <w:rPr>
          <w:rFonts w:ascii="Garamond" w:eastAsia="Garamond" w:hAnsi="Garamond" w:cs="Garamond"/>
          <w:b/>
          <w:bCs/>
        </w:rPr>
        <w:t>Tasa de Cambio</w:t>
      </w:r>
    </w:p>
    <w:p w14:paraId="7DD8B219" w14:textId="77777777" w:rsidR="000D4DB7" w:rsidRPr="000D4DB7" w:rsidRDefault="000D4DB7" w:rsidP="004270A5">
      <w:pPr>
        <w:widowControl/>
        <w:spacing w:before="100" w:beforeAutospacing="1" w:after="100" w:afterAutospacing="1"/>
        <w:jc w:val="both"/>
        <w:rPr>
          <w:rFonts w:ascii="Garamond" w:eastAsia="Garamond" w:hAnsi="Garamond" w:cs="Garamond"/>
        </w:rPr>
      </w:pPr>
      <w:r w:rsidRPr="000D4DB7">
        <w:rPr>
          <w:rFonts w:ascii="Garamond" w:eastAsia="Garamond" w:hAnsi="Garamond" w:cs="Garamond"/>
        </w:rPr>
        <w:t>La tasa de cambio nominal hace referencia al valor del peso colombiano frente a monedas extranjeras, especialmente el dólar estadounidense, utilizado como referencia principal en el comercio internacional.</w:t>
      </w:r>
    </w:p>
    <w:p w14:paraId="7D356BFA" w14:textId="77777777" w:rsidR="000D4DB7" w:rsidRPr="000D4DB7" w:rsidRDefault="000D4DB7" w:rsidP="004270A5">
      <w:pPr>
        <w:widowControl/>
        <w:spacing w:before="100" w:beforeAutospacing="1" w:after="100" w:afterAutospacing="1"/>
        <w:jc w:val="both"/>
        <w:rPr>
          <w:rFonts w:ascii="Garamond" w:eastAsia="Garamond" w:hAnsi="Garamond" w:cs="Garamond"/>
        </w:rPr>
      </w:pPr>
      <w:r w:rsidRPr="000D4DB7">
        <w:rPr>
          <w:rFonts w:ascii="Garamond" w:eastAsia="Garamond" w:hAnsi="Garamond" w:cs="Garamond"/>
        </w:rPr>
        <w:t>Cuando ocurre una depreciación del peso colombiano, se requieren más pesos para adquirir un dólar, lo que genera un aumento en el costo de productos importados, combustibles, tecnología e insumos industriales. Por el contrario, una apreciación del peso implica un fortalecimiento de la moneda local y una reducción relativa en los costos de importación.</w:t>
      </w:r>
    </w:p>
    <w:p w14:paraId="0D4D3BC2" w14:textId="5DB66452" w:rsidR="004051D4" w:rsidRDefault="000D4DB7" w:rsidP="004270A5">
      <w:pPr>
        <w:widowControl/>
        <w:jc w:val="both"/>
        <w:rPr>
          <w:rFonts w:ascii="Garamond" w:eastAsia="Garamond" w:hAnsi="Garamond" w:cs="Garamond"/>
        </w:rPr>
      </w:pPr>
      <w:r w:rsidRPr="000D4DB7">
        <w:rPr>
          <w:rFonts w:ascii="Garamond" w:eastAsia="Garamond" w:hAnsi="Garamond" w:cs="Garamond"/>
        </w:rPr>
        <w:t>Durante 2026, la tasa de cambio en Colombia ha presentado fluctuaciones influenciadas por factores internacionales como las tasas de interés en Estados Unidos, los precios del petróleo, la incertidumbre económica global y el comportamiento de los mercados financieros. En promedio, el dólar se ha ubicado alrededor de $4.200 pesos colombianos durante el primer semestre de 2026.</w:t>
      </w:r>
    </w:p>
    <w:p w14:paraId="393393F4" w14:textId="77777777" w:rsidR="004270A5" w:rsidRDefault="004270A5" w:rsidP="004270A5">
      <w:pPr>
        <w:widowControl/>
        <w:jc w:val="both"/>
        <w:rPr>
          <w:rFonts w:ascii="Garamond" w:eastAsia="Garamond" w:hAnsi="Garamond" w:cs="Garamond"/>
        </w:rPr>
      </w:pPr>
    </w:p>
    <w:p w14:paraId="267DF572" w14:textId="1609F868" w:rsidR="004051D4" w:rsidRDefault="004051D4" w:rsidP="004270A5">
      <w:pPr>
        <w:spacing w:line="232" w:lineRule="auto"/>
        <w:ind w:left="262" w:right="256"/>
        <w:jc w:val="both"/>
        <w:rPr>
          <w:rFonts w:ascii="Garamond" w:eastAsia="Garamond" w:hAnsi="Garamond" w:cs="Garamond"/>
          <w:b/>
          <w:bCs/>
        </w:rPr>
      </w:pPr>
      <w:r w:rsidRPr="004270A5">
        <w:rPr>
          <w:rFonts w:ascii="Garamond" w:eastAsia="Garamond" w:hAnsi="Garamond" w:cs="Garamond"/>
          <w:b/>
          <w:bCs/>
        </w:rPr>
        <w:t>Efectos de una devaluación:</w:t>
      </w:r>
    </w:p>
    <w:p w14:paraId="178B5BB7" w14:textId="77777777" w:rsidR="004270A5" w:rsidRPr="004270A5" w:rsidRDefault="004270A5" w:rsidP="004270A5">
      <w:pPr>
        <w:spacing w:line="232" w:lineRule="auto"/>
        <w:ind w:left="262" w:right="256"/>
        <w:jc w:val="both"/>
        <w:rPr>
          <w:rFonts w:ascii="Garamond" w:eastAsia="Garamond" w:hAnsi="Garamond" w:cs="Garamond"/>
          <w:b/>
          <w:bCs/>
        </w:rPr>
      </w:pPr>
    </w:p>
    <w:p w14:paraId="76D2BF2E" w14:textId="77777777" w:rsidR="00E14BF7" w:rsidRDefault="000D4DB7" w:rsidP="00E14BF7">
      <w:pPr>
        <w:pStyle w:val="Prrafodelista"/>
        <w:widowControl/>
        <w:numPr>
          <w:ilvl w:val="0"/>
          <w:numId w:val="40"/>
        </w:numPr>
        <w:jc w:val="both"/>
        <w:rPr>
          <w:rFonts w:ascii="Garamond" w:eastAsia="Garamond" w:hAnsi="Garamond" w:cs="Garamond"/>
        </w:rPr>
      </w:pPr>
      <w:r w:rsidRPr="004270A5">
        <w:rPr>
          <w:rFonts w:ascii="Garamond" w:eastAsia="Garamond" w:hAnsi="Garamond" w:cs="Garamond"/>
          <w:b/>
          <w:bCs/>
        </w:rPr>
        <w:t>Aumento de la competitividad de las exportaciones:</w:t>
      </w:r>
      <w:r w:rsidRPr="004270A5">
        <w:rPr>
          <w:rFonts w:ascii="Garamond" w:eastAsia="Garamond" w:hAnsi="Garamond" w:cs="Garamond"/>
        </w:rPr>
        <w:t xml:space="preserve"> los productos y servicios colombianos pueden resultar más económicos para compradores internacionales.</w:t>
      </w:r>
    </w:p>
    <w:p w14:paraId="75CEBBB3" w14:textId="7EA0B87E" w:rsidR="004270A5" w:rsidRPr="00E14BF7" w:rsidRDefault="000D4DB7" w:rsidP="00E14BF7">
      <w:pPr>
        <w:pStyle w:val="Prrafodelista"/>
        <w:widowControl/>
        <w:ind w:left="720" w:firstLine="0"/>
        <w:jc w:val="both"/>
        <w:rPr>
          <w:rFonts w:ascii="Garamond" w:eastAsia="Garamond" w:hAnsi="Garamond" w:cs="Garamond"/>
        </w:rPr>
      </w:pPr>
      <w:r w:rsidRPr="004270A5">
        <w:rPr>
          <w:rFonts w:ascii="Garamond" w:eastAsia="Garamond" w:hAnsi="Garamond" w:cs="Garamond"/>
        </w:rPr>
        <w:t xml:space="preserve"> </w:t>
      </w:r>
    </w:p>
    <w:p w14:paraId="7A7F70CE" w14:textId="584A3C38" w:rsidR="000D4DB7" w:rsidRDefault="000D4DB7" w:rsidP="004270A5">
      <w:pPr>
        <w:pStyle w:val="Prrafodelista"/>
        <w:widowControl/>
        <w:numPr>
          <w:ilvl w:val="0"/>
          <w:numId w:val="40"/>
        </w:numPr>
        <w:jc w:val="both"/>
        <w:rPr>
          <w:rFonts w:ascii="Garamond" w:eastAsia="Garamond" w:hAnsi="Garamond" w:cs="Garamond"/>
        </w:rPr>
      </w:pPr>
      <w:r w:rsidRPr="004270A5">
        <w:rPr>
          <w:rFonts w:ascii="Garamond" w:eastAsia="Garamond" w:hAnsi="Garamond" w:cs="Garamond"/>
          <w:b/>
          <w:bCs/>
        </w:rPr>
        <w:t>Aumento del precio de las importaciones:</w:t>
      </w:r>
      <w:r w:rsidRPr="004270A5">
        <w:rPr>
          <w:rFonts w:ascii="Garamond" w:eastAsia="Garamond" w:hAnsi="Garamond" w:cs="Garamond"/>
        </w:rPr>
        <w:t xml:space="preserve"> incrementa los costos de materias primas, tecnología e insumos importados, generando presiones inflacionarias. </w:t>
      </w:r>
    </w:p>
    <w:p w14:paraId="7D3882E2" w14:textId="77777777" w:rsidR="004270A5" w:rsidRPr="004270A5" w:rsidRDefault="004270A5" w:rsidP="004270A5">
      <w:pPr>
        <w:pStyle w:val="Prrafodelista"/>
        <w:rPr>
          <w:rFonts w:ascii="Garamond" w:eastAsia="Garamond" w:hAnsi="Garamond" w:cs="Garamond"/>
        </w:rPr>
      </w:pPr>
    </w:p>
    <w:p w14:paraId="32F507C9" w14:textId="77777777" w:rsidR="004270A5" w:rsidRPr="004270A5" w:rsidRDefault="004270A5" w:rsidP="004270A5">
      <w:pPr>
        <w:pStyle w:val="Prrafodelista"/>
        <w:widowControl/>
        <w:ind w:left="720" w:firstLine="0"/>
        <w:jc w:val="both"/>
        <w:rPr>
          <w:rFonts w:ascii="Garamond" w:eastAsia="Garamond" w:hAnsi="Garamond" w:cs="Garamond"/>
        </w:rPr>
      </w:pPr>
    </w:p>
    <w:p w14:paraId="09BEEEA6" w14:textId="3CCB84EE" w:rsidR="000D4DB7" w:rsidRDefault="000D4DB7" w:rsidP="004270A5">
      <w:pPr>
        <w:spacing w:line="232" w:lineRule="auto"/>
        <w:ind w:left="262" w:right="256"/>
        <w:jc w:val="both"/>
        <w:rPr>
          <w:rFonts w:ascii="Garamond" w:eastAsia="Garamond" w:hAnsi="Garamond" w:cs="Garamond"/>
          <w:b/>
          <w:color w:val="000000"/>
        </w:rPr>
      </w:pPr>
      <w:r w:rsidRPr="00C04E95">
        <w:rPr>
          <w:rFonts w:ascii="Garamond" w:eastAsia="Garamond" w:hAnsi="Garamond" w:cs="Garamond"/>
          <w:b/>
          <w:color w:val="000000"/>
        </w:rPr>
        <w:t>Efectos de una revaluación:</w:t>
      </w:r>
    </w:p>
    <w:p w14:paraId="66B780D7" w14:textId="77777777" w:rsidR="004270A5" w:rsidRPr="004270A5" w:rsidRDefault="004270A5" w:rsidP="004270A5">
      <w:pPr>
        <w:spacing w:line="232" w:lineRule="auto"/>
        <w:ind w:left="262" w:right="256"/>
        <w:jc w:val="both"/>
        <w:rPr>
          <w:rFonts w:ascii="Garamond" w:eastAsia="Garamond" w:hAnsi="Garamond" w:cs="Garamond"/>
          <w:b/>
          <w:color w:val="000000"/>
        </w:rPr>
      </w:pPr>
    </w:p>
    <w:p w14:paraId="2E98C1C5" w14:textId="0DFD449F" w:rsidR="004270A5" w:rsidRDefault="000D4DB7" w:rsidP="00E14BF7">
      <w:pPr>
        <w:widowControl/>
        <w:numPr>
          <w:ilvl w:val="0"/>
          <w:numId w:val="42"/>
        </w:numPr>
        <w:jc w:val="both"/>
        <w:rPr>
          <w:rFonts w:ascii="Garamond" w:eastAsia="Garamond" w:hAnsi="Garamond" w:cs="Garamond"/>
        </w:rPr>
      </w:pPr>
      <w:r w:rsidRPr="004270A5">
        <w:rPr>
          <w:rFonts w:ascii="Garamond" w:eastAsia="Garamond" w:hAnsi="Garamond" w:cs="Garamond"/>
          <w:b/>
          <w:bCs/>
        </w:rPr>
        <w:t>Disminución de la competitividad exportadora:</w:t>
      </w:r>
      <w:r w:rsidRPr="004270A5">
        <w:rPr>
          <w:rFonts w:ascii="Garamond" w:eastAsia="Garamond" w:hAnsi="Garamond" w:cs="Garamond"/>
        </w:rPr>
        <w:t xml:space="preserve"> los productos colombianos pueden encarecerse frente a mercados internacionales. </w:t>
      </w:r>
    </w:p>
    <w:p w14:paraId="483E3372" w14:textId="77777777" w:rsidR="00E14BF7" w:rsidRPr="00E14BF7" w:rsidRDefault="00E14BF7" w:rsidP="00E14BF7">
      <w:pPr>
        <w:widowControl/>
        <w:ind w:left="720"/>
        <w:jc w:val="both"/>
        <w:rPr>
          <w:rFonts w:ascii="Garamond" w:eastAsia="Garamond" w:hAnsi="Garamond" w:cs="Garamond"/>
        </w:rPr>
      </w:pPr>
    </w:p>
    <w:p w14:paraId="69F974B9" w14:textId="354E7B6F" w:rsidR="004051D4" w:rsidRDefault="000D4DB7" w:rsidP="0055208C">
      <w:pPr>
        <w:widowControl/>
        <w:numPr>
          <w:ilvl w:val="0"/>
          <w:numId w:val="42"/>
        </w:numPr>
        <w:jc w:val="both"/>
        <w:rPr>
          <w:rFonts w:ascii="Garamond" w:eastAsia="Garamond" w:hAnsi="Garamond" w:cs="Garamond"/>
        </w:rPr>
      </w:pPr>
      <w:r w:rsidRPr="004270A5">
        <w:rPr>
          <w:rFonts w:ascii="Garamond" w:eastAsia="Garamond" w:hAnsi="Garamond" w:cs="Garamond"/>
          <w:b/>
          <w:bCs/>
        </w:rPr>
        <w:t>Reducción del costo de importaciones:</w:t>
      </w:r>
      <w:r w:rsidRPr="004270A5">
        <w:rPr>
          <w:rFonts w:ascii="Garamond" w:eastAsia="Garamond" w:hAnsi="Garamond" w:cs="Garamond"/>
        </w:rPr>
        <w:t xml:space="preserve"> disminuyen los precios de productos importados y algunas presiones inflacionarias.</w:t>
      </w:r>
    </w:p>
    <w:p w14:paraId="6251A1F3" w14:textId="77777777" w:rsidR="004270A5" w:rsidRDefault="004270A5" w:rsidP="0055208C">
      <w:pPr>
        <w:pStyle w:val="Prrafodelista"/>
        <w:jc w:val="both"/>
        <w:rPr>
          <w:rFonts w:ascii="Garamond" w:eastAsia="Garamond" w:hAnsi="Garamond" w:cs="Garamond"/>
        </w:rPr>
      </w:pPr>
    </w:p>
    <w:p w14:paraId="1EE21523" w14:textId="77777777" w:rsidR="004270A5" w:rsidRPr="004270A5" w:rsidRDefault="004270A5" w:rsidP="0055208C">
      <w:pPr>
        <w:widowControl/>
        <w:ind w:left="720"/>
        <w:jc w:val="both"/>
        <w:rPr>
          <w:rFonts w:ascii="Garamond" w:eastAsia="Garamond" w:hAnsi="Garamond" w:cs="Garamond"/>
        </w:rPr>
      </w:pPr>
    </w:p>
    <w:p w14:paraId="1E57FD18" w14:textId="77777777" w:rsidR="000D4DB7" w:rsidRPr="004270A5" w:rsidRDefault="000D4DB7" w:rsidP="0055208C">
      <w:pPr>
        <w:pStyle w:val="Ttulo1"/>
        <w:ind w:left="0" w:firstLine="0"/>
        <w:jc w:val="both"/>
        <w:rPr>
          <w:rFonts w:ascii="Garamond" w:eastAsia="Garamond" w:hAnsi="Garamond" w:cs="Garamond"/>
          <w:bCs/>
          <w:sz w:val="22"/>
          <w:szCs w:val="22"/>
        </w:rPr>
      </w:pPr>
      <w:r w:rsidRPr="004270A5">
        <w:rPr>
          <w:rFonts w:ascii="Garamond" w:eastAsia="Garamond" w:hAnsi="Garamond" w:cs="Garamond"/>
          <w:bCs/>
          <w:sz w:val="22"/>
          <w:szCs w:val="22"/>
        </w:rPr>
        <w:t>Riesgos del Sector Terciario en Colombia – Actualización 2026</w:t>
      </w:r>
    </w:p>
    <w:p w14:paraId="3095417C" w14:textId="02B807AD" w:rsidR="000D4DB7" w:rsidRPr="004270A5" w:rsidRDefault="000D4DB7" w:rsidP="0055208C">
      <w:pPr>
        <w:pStyle w:val="NormalWeb"/>
        <w:jc w:val="both"/>
        <w:rPr>
          <w:rFonts w:ascii="Garamond" w:eastAsia="Garamond" w:hAnsi="Garamond" w:cs="Garamond"/>
          <w:sz w:val="22"/>
          <w:szCs w:val="22"/>
        </w:rPr>
      </w:pPr>
      <w:r w:rsidRPr="004270A5">
        <w:rPr>
          <w:rFonts w:ascii="Garamond" w:eastAsia="Garamond" w:hAnsi="Garamond" w:cs="Garamond"/>
          <w:sz w:val="22"/>
          <w:szCs w:val="22"/>
        </w:rPr>
        <w:t xml:space="preserve">Teniendo en cuenta que el sector terciario o de servicios </w:t>
      </w:r>
      <w:proofErr w:type="spellStart"/>
      <w:r w:rsidRPr="004270A5">
        <w:rPr>
          <w:rFonts w:ascii="Garamond" w:eastAsia="Garamond" w:hAnsi="Garamond" w:cs="Garamond"/>
          <w:sz w:val="22"/>
          <w:szCs w:val="22"/>
        </w:rPr>
        <w:t>constiuye</w:t>
      </w:r>
      <w:proofErr w:type="spellEnd"/>
      <w:r w:rsidRPr="004270A5">
        <w:rPr>
          <w:rFonts w:ascii="Garamond" w:eastAsia="Garamond" w:hAnsi="Garamond" w:cs="Garamond"/>
          <w:sz w:val="22"/>
          <w:szCs w:val="22"/>
        </w:rPr>
        <w:t xml:space="preserve"> una base importante para el desarrollo económico del país, es fundamental considerar los principales riesgos que pueden afectar su estabilidad y crecimiento durante 2026.</w:t>
      </w:r>
    </w:p>
    <w:p w14:paraId="649CED0C" w14:textId="1EAA14C3" w:rsidR="000D4DB7" w:rsidRPr="004270A5" w:rsidRDefault="000D4DB7" w:rsidP="00C04E95">
      <w:pPr>
        <w:spacing w:before="245" w:line="232" w:lineRule="auto"/>
        <w:ind w:right="256"/>
        <w:jc w:val="both"/>
        <w:rPr>
          <w:rFonts w:ascii="Garamond" w:eastAsia="Garamond" w:hAnsi="Garamond" w:cs="Garamond"/>
          <w:b/>
          <w:bCs/>
        </w:rPr>
      </w:pPr>
      <w:r w:rsidRPr="004270A5">
        <w:rPr>
          <w:rFonts w:ascii="Garamond" w:eastAsia="Garamond" w:hAnsi="Garamond" w:cs="Garamond"/>
          <w:b/>
          <w:bCs/>
        </w:rPr>
        <w:lastRenderedPageBreak/>
        <w:t>Riesgo económico</w:t>
      </w:r>
    </w:p>
    <w:p w14:paraId="72AB1133" w14:textId="77777777" w:rsidR="000D4DB7" w:rsidRPr="004270A5" w:rsidRDefault="000D4DB7" w:rsidP="0055208C">
      <w:pPr>
        <w:widowControl/>
        <w:numPr>
          <w:ilvl w:val="0"/>
          <w:numId w:val="43"/>
        </w:numPr>
        <w:spacing w:before="100" w:beforeAutospacing="1" w:after="100" w:afterAutospacing="1"/>
        <w:jc w:val="both"/>
        <w:rPr>
          <w:rFonts w:ascii="Garamond" w:eastAsia="Garamond" w:hAnsi="Garamond" w:cs="Garamond"/>
        </w:rPr>
      </w:pPr>
      <w:r w:rsidRPr="004270A5">
        <w:rPr>
          <w:rFonts w:ascii="Garamond" w:eastAsia="Garamond" w:hAnsi="Garamond" w:cs="Garamond"/>
          <w:b/>
          <w:bCs/>
        </w:rPr>
        <w:t>Crecimiento económico:</w:t>
      </w:r>
      <w:r w:rsidRPr="004270A5">
        <w:rPr>
          <w:rFonts w:ascii="Garamond" w:eastAsia="Garamond" w:hAnsi="Garamond" w:cs="Garamond"/>
        </w:rPr>
        <w:t xml:space="preserve"> la desaceleración económica puede reducir el consumo y la demanda de servicios como turismo, educación, entretenimiento y servicios financieros. </w:t>
      </w:r>
    </w:p>
    <w:p w14:paraId="27BFB6D5" w14:textId="77777777" w:rsidR="000D4DB7" w:rsidRPr="004270A5" w:rsidRDefault="000D4DB7" w:rsidP="0055208C">
      <w:pPr>
        <w:widowControl/>
        <w:numPr>
          <w:ilvl w:val="0"/>
          <w:numId w:val="43"/>
        </w:numPr>
        <w:spacing w:before="100" w:beforeAutospacing="1" w:after="100" w:afterAutospacing="1"/>
        <w:jc w:val="both"/>
        <w:rPr>
          <w:rFonts w:ascii="Garamond" w:eastAsia="Garamond" w:hAnsi="Garamond" w:cs="Garamond"/>
        </w:rPr>
      </w:pPr>
      <w:r w:rsidRPr="004270A5">
        <w:rPr>
          <w:rFonts w:ascii="Garamond" w:eastAsia="Garamond" w:hAnsi="Garamond" w:cs="Garamond"/>
          <w:b/>
          <w:bCs/>
        </w:rPr>
        <w:t>Inflación:</w:t>
      </w:r>
      <w:r w:rsidRPr="004270A5">
        <w:rPr>
          <w:rFonts w:ascii="Garamond" w:eastAsia="Garamond" w:hAnsi="Garamond" w:cs="Garamond"/>
        </w:rPr>
        <w:t xml:space="preserve"> el aumento sostenido de precios incrementa los costos operativos y reduce el poder adquisitivo de los consumidores. </w:t>
      </w:r>
    </w:p>
    <w:p w14:paraId="2D879FC2" w14:textId="65801230" w:rsidR="000D4DB7" w:rsidRDefault="000D4DB7" w:rsidP="0055208C">
      <w:pPr>
        <w:widowControl/>
        <w:numPr>
          <w:ilvl w:val="0"/>
          <w:numId w:val="43"/>
        </w:numPr>
        <w:spacing w:before="100" w:beforeAutospacing="1" w:after="100" w:afterAutospacing="1"/>
        <w:jc w:val="both"/>
        <w:rPr>
          <w:rFonts w:ascii="Garamond" w:eastAsia="Garamond" w:hAnsi="Garamond" w:cs="Garamond"/>
        </w:rPr>
      </w:pPr>
      <w:r w:rsidRPr="004270A5">
        <w:rPr>
          <w:rFonts w:ascii="Garamond" w:eastAsia="Garamond" w:hAnsi="Garamond" w:cs="Garamond"/>
          <w:b/>
          <w:bCs/>
        </w:rPr>
        <w:t>Tipo de cambio:</w:t>
      </w:r>
      <w:r w:rsidRPr="004270A5">
        <w:rPr>
          <w:rFonts w:ascii="Garamond" w:eastAsia="Garamond" w:hAnsi="Garamond" w:cs="Garamond"/>
        </w:rPr>
        <w:t xml:space="preserve"> las fluctuaciones del dólar pueden afectar sectores como turismo, comercio internacional y servicios tecnológicos.</w:t>
      </w:r>
    </w:p>
    <w:p w14:paraId="7D46B33F" w14:textId="1E275A3F" w:rsidR="004270A5" w:rsidRPr="004270A5" w:rsidRDefault="004270A5" w:rsidP="0055208C">
      <w:pPr>
        <w:widowControl/>
        <w:spacing w:before="100" w:beforeAutospacing="1" w:after="100" w:afterAutospacing="1"/>
        <w:jc w:val="both"/>
        <w:rPr>
          <w:rFonts w:ascii="Garamond" w:eastAsia="Garamond" w:hAnsi="Garamond" w:cs="Garamond"/>
          <w:b/>
          <w:bCs/>
        </w:rPr>
      </w:pPr>
      <w:r>
        <w:rPr>
          <w:rFonts w:ascii="Garamond" w:eastAsia="Garamond" w:hAnsi="Garamond" w:cs="Garamond"/>
          <w:b/>
          <w:bCs/>
        </w:rPr>
        <w:t>Riesgo Político regulatorio</w:t>
      </w:r>
    </w:p>
    <w:p w14:paraId="76407670" w14:textId="615941EB" w:rsidR="000D4DB7" w:rsidRPr="004270A5" w:rsidRDefault="000D4DB7" w:rsidP="0055208C">
      <w:pPr>
        <w:widowControl/>
        <w:numPr>
          <w:ilvl w:val="0"/>
          <w:numId w:val="44"/>
        </w:numPr>
        <w:spacing w:before="100" w:beforeAutospacing="1" w:after="100" w:afterAutospacing="1"/>
        <w:jc w:val="both"/>
        <w:rPr>
          <w:rFonts w:ascii="Garamond" w:eastAsia="Garamond" w:hAnsi="Garamond" w:cs="Garamond"/>
        </w:rPr>
      </w:pPr>
      <w:r w:rsidRPr="004270A5">
        <w:rPr>
          <w:rFonts w:ascii="Garamond" w:eastAsia="Garamond" w:hAnsi="Garamond" w:cs="Garamond"/>
          <w:b/>
          <w:bCs/>
        </w:rPr>
        <w:t>Cambios regulatorios:</w:t>
      </w:r>
      <w:r w:rsidRPr="004270A5">
        <w:rPr>
          <w:rFonts w:ascii="Garamond" w:eastAsia="Garamond" w:hAnsi="Garamond" w:cs="Garamond"/>
        </w:rPr>
        <w:t xml:space="preserve"> nuevas reformas tributarias, laborales y regulatorias pueden incrementar costos operativos y generar incertidumbre empresarial. </w:t>
      </w:r>
    </w:p>
    <w:p w14:paraId="220CAB3D" w14:textId="0FAD4EEF" w:rsidR="000D4DB7" w:rsidRDefault="000D4DB7" w:rsidP="0055208C">
      <w:pPr>
        <w:widowControl/>
        <w:numPr>
          <w:ilvl w:val="0"/>
          <w:numId w:val="44"/>
        </w:numPr>
        <w:spacing w:before="100" w:beforeAutospacing="1" w:after="100" w:afterAutospacing="1"/>
        <w:jc w:val="both"/>
        <w:rPr>
          <w:rFonts w:ascii="Garamond" w:eastAsia="Garamond" w:hAnsi="Garamond" w:cs="Garamond"/>
        </w:rPr>
      </w:pPr>
      <w:r w:rsidRPr="004270A5">
        <w:rPr>
          <w:rFonts w:ascii="Garamond" w:eastAsia="Garamond" w:hAnsi="Garamond" w:cs="Garamond"/>
          <w:b/>
          <w:bCs/>
        </w:rPr>
        <w:t>Inestabilidad política:</w:t>
      </w:r>
      <w:r w:rsidRPr="004270A5">
        <w:rPr>
          <w:rFonts w:ascii="Garamond" w:eastAsia="Garamond" w:hAnsi="Garamond" w:cs="Garamond"/>
        </w:rPr>
        <w:t xml:space="preserve"> las tensiones políticas y cambios en políticas públicas pueden afectar la confianza inversionista y la dinámica empresarial.</w:t>
      </w:r>
    </w:p>
    <w:p w14:paraId="52E3E425" w14:textId="4012AA06" w:rsidR="004270A5" w:rsidRDefault="004270A5" w:rsidP="0055208C">
      <w:pPr>
        <w:widowControl/>
        <w:rPr>
          <w:rFonts w:ascii="Garamond" w:eastAsia="Garamond" w:hAnsi="Garamond" w:cs="Garamond"/>
          <w:b/>
          <w:bCs/>
        </w:rPr>
      </w:pPr>
      <w:r w:rsidRPr="004270A5">
        <w:rPr>
          <w:rFonts w:ascii="Garamond" w:eastAsia="Garamond" w:hAnsi="Garamond" w:cs="Garamond"/>
          <w:b/>
          <w:bCs/>
        </w:rPr>
        <w:t xml:space="preserve">Riesgo </w:t>
      </w:r>
      <w:r>
        <w:rPr>
          <w:rFonts w:ascii="Garamond" w:eastAsia="Garamond" w:hAnsi="Garamond" w:cs="Garamond"/>
          <w:b/>
          <w:bCs/>
        </w:rPr>
        <w:t>Social</w:t>
      </w:r>
    </w:p>
    <w:p w14:paraId="2711706A" w14:textId="77777777" w:rsidR="0055208C" w:rsidRPr="004270A5" w:rsidRDefault="0055208C" w:rsidP="0055208C">
      <w:pPr>
        <w:widowControl/>
        <w:rPr>
          <w:rFonts w:ascii="Garamond" w:eastAsia="Garamond" w:hAnsi="Garamond" w:cs="Garamond"/>
          <w:b/>
          <w:bCs/>
        </w:rPr>
      </w:pPr>
    </w:p>
    <w:p w14:paraId="40A63FF0" w14:textId="77777777" w:rsidR="000D4DB7" w:rsidRPr="004270A5" w:rsidRDefault="000D4DB7" w:rsidP="0055208C">
      <w:pPr>
        <w:widowControl/>
        <w:numPr>
          <w:ilvl w:val="0"/>
          <w:numId w:val="45"/>
        </w:numPr>
        <w:jc w:val="both"/>
        <w:rPr>
          <w:rFonts w:ascii="Garamond" w:eastAsia="Garamond" w:hAnsi="Garamond" w:cs="Garamond"/>
        </w:rPr>
      </w:pPr>
      <w:r w:rsidRPr="004270A5">
        <w:rPr>
          <w:rFonts w:ascii="Garamond" w:eastAsia="Garamond" w:hAnsi="Garamond" w:cs="Garamond"/>
          <w:b/>
          <w:bCs/>
        </w:rPr>
        <w:t>Desigualdad y pobreza:</w:t>
      </w:r>
      <w:r w:rsidRPr="004270A5">
        <w:rPr>
          <w:rFonts w:ascii="Garamond" w:eastAsia="Garamond" w:hAnsi="Garamond" w:cs="Garamond"/>
        </w:rPr>
        <w:t xml:space="preserve"> las brechas sociales limitan el acceso a servicios privados y afectan la demanda en sectores como salud, educación y servicios financieros. </w:t>
      </w:r>
    </w:p>
    <w:p w14:paraId="5475F5B1" w14:textId="14801163" w:rsidR="0055208C" w:rsidRPr="0055208C" w:rsidRDefault="000D4DB7" w:rsidP="0055208C">
      <w:pPr>
        <w:widowControl/>
        <w:numPr>
          <w:ilvl w:val="0"/>
          <w:numId w:val="45"/>
        </w:numPr>
        <w:jc w:val="both"/>
        <w:rPr>
          <w:rFonts w:ascii="Garamond" w:eastAsia="Garamond" w:hAnsi="Garamond" w:cs="Garamond"/>
        </w:rPr>
      </w:pPr>
      <w:r w:rsidRPr="004270A5">
        <w:rPr>
          <w:rFonts w:ascii="Garamond" w:eastAsia="Garamond" w:hAnsi="Garamond" w:cs="Garamond"/>
          <w:b/>
          <w:bCs/>
        </w:rPr>
        <w:t>Educación y capacitación:</w:t>
      </w:r>
      <w:r w:rsidRPr="004270A5">
        <w:rPr>
          <w:rFonts w:ascii="Garamond" w:eastAsia="Garamond" w:hAnsi="Garamond" w:cs="Garamond"/>
        </w:rPr>
        <w:t xml:space="preserve"> la falta de talento humano especializado limita la competitividad y calidad de algunos servicios</w:t>
      </w:r>
      <w:r w:rsidRPr="0055208C">
        <w:rPr>
          <w:rFonts w:ascii="Garamond" w:eastAsia="Garamond" w:hAnsi="Garamond" w:cs="Garamond"/>
        </w:rPr>
        <w:t>.</w:t>
      </w:r>
    </w:p>
    <w:p w14:paraId="07446B72" w14:textId="77777777" w:rsidR="0055208C" w:rsidRPr="0055208C" w:rsidRDefault="0055208C" w:rsidP="0055208C">
      <w:pPr>
        <w:pStyle w:val="Prrafodelista"/>
        <w:widowControl/>
        <w:numPr>
          <w:ilvl w:val="0"/>
          <w:numId w:val="45"/>
        </w:numPr>
        <w:jc w:val="both"/>
        <w:rPr>
          <w:rFonts w:ascii="Garamond" w:eastAsia="Garamond" w:hAnsi="Garamond" w:cs="Garamond"/>
          <w:b/>
          <w:bCs/>
        </w:rPr>
      </w:pPr>
      <w:r w:rsidRPr="0055208C">
        <w:rPr>
          <w:rFonts w:ascii="Garamond" w:eastAsia="Garamond" w:hAnsi="Garamond" w:cs="Garamond"/>
          <w:b/>
          <w:bCs/>
        </w:rPr>
        <w:t>Riesgo Social</w:t>
      </w:r>
    </w:p>
    <w:p w14:paraId="6E81DE92" w14:textId="77777777" w:rsidR="0055208C" w:rsidRPr="004270A5" w:rsidRDefault="0055208C" w:rsidP="0055208C">
      <w:pPr>
        <w:widowControl/>
        <w:ind w:left="360"/>
        <w:jc w:val="both"/>
        <w:rPr>
          <w:rFonts w:ascii="Garamond" w:eastAsia="Garamond" w:hAnsi="Garamond" w:cs="Garamond"/>
        </w:rPr>
      </w:pPr>
    </w:p>
    <w:p w14:paraId="75FA703F" w14:textId="0C9107D8" w:rsidR="004051D4" w:rsidRDefault="004051D4" w:rsidP="0055208C">
      <w:pPr>
        <w:widowControl/>
        <w:jc w:val="both"/>
        <w:rPr>
          <w:rFonts w:ascii="Garamond" w:eastAsia="Garamond" w:hAnsi="Garamond" w:cs="Garamond"/>
          <w:b/>
          <w:bCs/>
        </w:rPr>
      </w:pPr>
      <w:r w:rsidRPr="0055208C">
        <w:rPr>
          <w:rFonts w:ascii="Garamond" w:eastAsia="Garamond" w:hAnsi="Garamond" w:cs="Garamond"/>
          <w:b/>
          <w:bCs/>
        </w:rPr>
        <w:t>Riesgo Tecnológico:</w:t>
      </w:r>
    </w:p>
    <w:p w14:paraId="32E68E7C" w14:textId="77777777" w:rsidR="0055208C" w:rsidRPr="0055208C" w:rsidRDefault="0055208C" w:rsidP="0055208C">
      <w:pPr>
        <w:widowControl/>
        <w:jc w:val="both"/>
        <w:rPr>
          <w:rFonts w:ascii="Garamond" w:eastAsia="Garamond" w:hAnsi="Garamond" w:cs="Garamond"/>
          <w:b/>
          <w:bCs/>
        </w:rPr>
      </w:pPr>
    </w:p>
    <w:p w14:paraId="1136009E" w14:textId="4B11A972" w:rsidR="000D4DB7" w:rsidRPr="000D4DB7" w:rsidRDefault="000D4DB7" w:rsidP="0055208C">
      <w:pPr>
        <w:widowControl/>
        <w:numPr>
          <w:ilvl w:val="0"/>
          <w:numId w:val="45"/>
        </w:numPr>
        <w:jc w:val="both"/>
        <w:rPr>
          <w:rFonts w:ascii="Garamond" w:eastAsia="Garamond" w:hAnsi="Garamond" w:cs="Garamond"/>
          <w:b/>
          <w:bCs/>
        </w:rPr>
      </w:pPr>
      <w:r w:rsidRPr="000D4DB7">
        <w:rPr>
          <w:rFonts w:ascii="Garamond" w:eastAsia="Garamond" w:hAnsi="Garamond" w:cs="Garamond"/>
          <w:b/>
          <w:bCs/>
        </w:rPr>
        <w:t xml:space="preserve">Transformación digital: </w:t>
      </w:r>
      <w:r w:rsidRPr="000D4DB7">
        <w:rPr>
          <w:rFonts w:ascii="Garamond" w:eastAsia="Garamond" w:hAnsi="Garamond" w:cs="Garamond"/>
        </w:rPr>
        <w:t>las empresas que no adopten herramientas tecnológicas y procesos digitales pueden perder competitividad.</w:t>
      </w:r>
      <w:r w:rsidRPr="000D4DB7">
        <w:rPr>
          <w:rFonts w:ascii="Garamond" w:eastAsia="Garamond" w:hAnsi="Garamond" w:cs="Garamond"/>
          <w:b/>
          <w:bCs/>
        </w:rPr>
        <w:t xml:space="preserve"> </w:t>
      </w:r>
    </w:p>
    <w:p w14:paraId="059869A4" w14:textId="77777777" w:rsidR="0055208C" w:rsidRDefault="000D4DB7" w:rsidP="0055208C">
      <w:pPr>
        <w:widowControl/>
        <w:numPr>
          <w:ilvl w:val="0"/>
          <w:numId w:val="45"/>
        </w:numPr>
        <w:jc w:val="both"/>
        <w:rPr>
          <w:rFonts w:ascii="Garamond" w:eastAsia="Garamond" w:hAnsi="Garamond" w:cs="Garamond"/>
          <w:b/>
          <w:bCs/>
        </w:rPr>
      </w:pPr>
      <w:r w:rsidRPr="0055208C">
        <w:rPr>
          <w:rFonts w:ascii="Garamond" w:eastAsia="Garamond" w:hAnsi="Garamond" w:cs="Garamond"/>
          <w:b/>
          <w:bCs/>
        </w:rPr>
        <w:t xml:space="preserve">Ciberseguridad: </w:t>
      </w:r>
      <w:r w:rsidRPr="0055208C">
        <w:rPr>
          <w:rFonts w:ascii="Garamond" w:eastAsia="Garamond" w:hAnsi="Garamond" w:cs="Garamond"/>
        </w:rPr>
        <w:t>el incremento de ataques informáticos representa riesgos financieros y reputacionales para las organizaciones.</w:t>
      </w:r>
    </w:p>
    <w:p w14:paraId="442D45E9" w14:textId="77777777" w:rsidR="0055208C" w:rsidRPr="0055208C" w:rsidRDefault="0055208C" w:rsidP="0055208C">
      <w:pPr>
        <w:widowControl/>
        <w:ind w:left="720"/>
        <w:rPr>
          <w:rFonts w:ascii="Garamond" w:eastAsia="Garamond" w:hAnsi="Garamond" w:cs="Garamond"/>
          <w:b/>
          <w:bCs/>
        </w:rPr>
      </w:pPr>
    </w:p>
    <w:p w14:paraId="4B3E6226" w14:textId="43197F16" w:rsidR="000D4DB7" w:rsidRPr="0055208C" w:rsidRDefault="000D4DB7" w:rsidP="0055208C">
      <w:pPr>
        <w:widowControl/>
        <w:rPr>
          <w:rFonts w:ascii="Garamond" w:eastAsia="Garamond" w:hAnsi="Garamond" w:cs="Garamond"/>
          <w:b/>
          <w:bCs/>
        </w:rPr>
      </w:pPr>
      <w:r w:rsidRPr="0055208C">
        <w:rPr>
          <w:rFonts w:ascii="Garamond" w:eastAsia="Garamond" w:hAnsi="Garamond" w:cs="Garamond"/>
          <w:b/>
          <w:color w:val="000000"/>
        </w:rPr>
        <w:t>Riesgo Ambiental:</w:t>
      </w:r>
    </w:p>
    <w:p w14:paraId="50044B91" w14:textId="77777777" w:rsidR="004051D4" w:rsidRDefault="004051D4" w:rsidP="004051D4">
      <w:pPr>
        <w:pStyle w:val="Ttulo3"/>
        <w:ind w:left="284"/>
        <w:rPr>
          <w:rFonts w:ascii="Garamond" w:eastAsia="Garamond" w:hAnsi="Garamond" w:cs="Garamond"/>
        </w:rPr>
      </w:pPr>
    </w:p>
    <w:p w14:paraId="4B99E3C7" w14:textId="4AF97CB7" w:rsidR="000D4DB7" w:rsidRPr="000D4DB7" w:rsidRDefault="000D4DB7" w:rsidP="0055208C">
      <w:pPr>
        <w:widowControl/>
        <w:numPr>
          <w:ilvl w:val="0"/>
          <w:numId w:val="45"/>
        </w:numPr>
        <w:jc w:val="both"/>
        <w:rPr>
          <w:rFonts w:ascii="Garamond" w:eastAsia="Garamond" w:hAnsi="Garamond" w:cs="Garamond"/>
        </w:rPr>
      </w:pPr>
      <w:r w:rsidRPr="000D4DB7">
        <w:rPr>
          <w:rFonts w:ascii="Garamond" w:eastAsia="Garamond" w:hAnsi="Garamond" w:cs="Garamond"/>
          <w:b/>
          <w:bCs/>
        </w:rPr>
        <w:t>Cambio climático:</w:t>
      </w:r>
      <w:r w:rsidRPr="000D4DB7">
        <w:rPr>
          <w:rFonts w:ascii="Garamond" w:eastAsia="Garamond" w:hAnsi="Garamond" w:cs="Garamond"/>
        </w:rPr>
        <w:t xml:space="preserve"> fenómenos climáticos extremos afectan actividades como turismo, logística y transporte. </w:t>
      </w:r>
    </w:p>
    <w:p w14:paraId="3B80EE36" w14:textId="71801FA2" w:rsidR="004051D4" w:rsidRPr="0055208C" w:rsidRDefault="000D4DB7" w:rsidP="0055208C">
      <w:pPr>
        <w:widowControl/>
        <w:numPr>
          <w:ilvl w:val="0"/>
          <w:numId w:val="45"/>
        </w:numPr>
        <w:jc w:val="both"/>
        <w:rPr>
          <w:rFonts w:ascii="Garamond" w:eastAsia="Garamond" w:hAnsi="Garamond" w:cs="Garamond"/>
        </w:rPr>
      </w:pPr>
      <w:r w:rsidRPr="0055208C">
        <w:rPr>
          <w:rFonts w:ascii="Garamond" w:eastAsia="Garamond" w:hAnsi="Garamond" w:cs="Garamond"/>
          <w:b/>
          <w:bCs/>
        </w:rPr>
        <w:t>Regulaciones ambientales:</w:t>
      </w:r>
      <w:r w:rsidRPr="0055208C">
        <w:rPr>
          <w:rFonts w:ascii="Garamond" w:eastAsia="Garamond" w:hAnsi="Garamond" w:cs="Garamond"/>
        </w:rPr>
        <w:t xml:space="preserve"> las exigencias de sostenibilidad pueden incrementar costos de adaptación y operación.</w:t>
      </w:r>
    </w:p>
    <w:p w14:paraId="62E6BD86" w14:textId="77777777" w:rsidR="000D4DB7" w:rsidRDefault="000D4DB7" w:rsidP="000D4DB7">
      <w:pPr>
        <w:tabs>
          <w:tab w:val="left" w:pos="981"/>
        </w:tabs>
        <w:spacing w:before="11" w:line="232" w:lineRule="auto"/>
        <w:ind w:left="284" w:right="258"/>
        <w:jc w:val="both"/>
        <w:rPr>
          <w:rFonts w:ascii="Garamond" w:eastAsia="Garamond" w:hAnsi="Garamond" w:cs="Garamond"/>
          <w:b/>
          <w:color w:val="000000"/>
        </w:rPr>
      </w:pPr>
    </w:p>
    <w:p w14:paraId="5C3F7385" w14:textId="77777777" w:rsidR="004051D4" w:rsidRDefault="004051D4" w:rsidP="0055208C">
      <w:pPr>
        <w:widowControl/>
        <w:rPr>
          <w:rFonts w:ascii="Garamond" w:eastAsia="Garamond" w:hAnsi="Garamond" w:cs="Garamond"/>
          <w:b/>
          <w:color w:val="000000"/>
        </w:rPr>
      </w:pPr>
      <w:r>
        <w:rPr>
          <w:rFonts w:ascii="Garamond" w:eastAsia="Garamond" w:hAnsi="Garamond" w:cs="Garamond"/>
          <w:b/>
          <w:color w:val="000000"/>
        </w:rPr>
        <w:t>Riesgo de Competencia:</w:t>
      </w:r>
    </w:p>
    <w:p w14:paraId="093F905C" w14:textId="77777777" w:rsidR="004051D4" w:rsidRDefault="004051D4" w:rsidP="004051D4">
      <w:pPr>
        <w:tabs>
          <w:tab w:val="left" w:pos="981"/>
        </w:tabs>
        <w:spacing w:before="11" w:line="232" w:lineRule="auto"/>
        <w:ind w:left="284" w:right="258"/>
        <w:jc w:val="both"/>
        <w:rPr>
          <w:rFonts w:ascii="Garamond" w:eastAsia="Garamond" w:hAnsi="Garamond" w:cs="Garamond"/>
          <w:b/>
          <w:color w:val="000000"/>
        </w:rPr>
      </w:pPr>
    </w:p>
    <w:p w14:paraId="35F3B65F" w14:textId="159B8187" w:rsidR="000D4DB7" w:rsidRPr="000D4DB7" w:rsidRDefault="000D4DB7" w:rsidP="00D71D7D">
      <w:pPr>
        <w:widowControl/>
        <w:numPr>
          <w:ilvl w:val="0"/>
          <w:numId w:val="45"/>
        </w:numPr>
        <w:jc w:val="both"/>
        <w:rPr>
          <w:rFonts w:ascii="Garamond" w:eastAsia="Garamond" w:hAnsi="Garamond" w:cs="Garamond"/>
          <w:b/>
          <w:bCs/>
        </w:rPr>
      </w:pPr>
      <w:r w:rsidRPr="000D4DB7">
        <w:rPr>
          <w:rFonts w:ascii="Garamond" w:eastAsia="Garamond" w:hAnsi="Garamond" w:cs="Garamond"/>
          <w:b/>
          <w:bCs/>
        </w:rPr>
        <w:t xml:space="preserve">Competencia internacional: </w:t>
      </w:r>
      <w:r w:rsidRPr="000D4DB7">
        <w:rPr>
          <w:rFonts w:ascii="Garamond" w:eastAsia="Garamond" w:hAnsi="Garamond" w:cs="Garamond"/>
        </w:rPr>
        <w:t>la apertura económica y globalización aumentan la presión competitiva sobre empresas nacionales.</w:t>
      </w:r>
      <w:r w:rsidRPr="000D4DB7">
        <w:rPr>
          <w:rFonts w:ascii="Garamond" w:eastAsia="Garamond" w:hAnsi="Garamond" w:cs="Garamond"/>
          <w:b/>
          <w:bCs/>
        </w:rPr>
        <w:t xml:space="preserve"> </w:t>
      </w:r>
    </w:p>
    <w:p w14:paraId="4C3DBE0A" w14:textId="77AC32EE" w:rsidR="000D4DB7" w:rsidRPr="00D71D7D" w:rsidRDefault="000D4DB7" w:rsidP="00D71D7D">
      <w:pPr>
        <w:widowControl/>
        <w:numPr>
          <w:ilvl w:val="0"/>
          <w:numId w:val="45"/>
        </w:numPr>
        <w:jc w:val="both"/>
        <w:rPr>
          <w:rFonts w:ascii="Garamond" w:eastAsia="Garamond" w:hAnsi="Garamond" w:cs="Garamond"/>
          <w:b/>
          <w:bCs/>
        </w:rPr>
      </w:pPr>
      <w:r w:rsidRPr="00D71D7D">
        <w:rPr>
          <w:rFonts w:ascii="Garamond" w:eastAsia="Garamond" w:hAnsi="Garamond" w:cs="Garamond"/>
          <w:b/>
          <w:bCs/>
        </w:rPr>
        <w:lastRenderedPageBreak/>
        <w:t xml:space="preserve">Innovación: </w:t>
      </w:r>
      <w:r w:rsidRPr="00D71D7D">
        <w:rPr>
          <w:rFonts w:ascii="Garamond" w:eastAsia="Garamond" w:hAnsi="Garamond" w:cs="Garamond"/>
        </w:rPr>
        <w:t>las empresas que no innoven en servicios, tecnología y experiencia del cliente pueden perder participación en el mercado.</w:t>
      </w:r>
    </w:p>
    <w:p w14:paraId="725E8BCB" w14:textId="77777777" w:rsidR="000D4DB7" w:rsidRPr="00D71D7D" w:rsidRDefault="000D4DB7" w:rsidP="0055208C">
      <w:pPr>
        <w:pStyle w:val="NormalWeb"/>
        <w:jc w:val="both"/>
        <w:rPr>
          <w:rFonts w:ascii="Garamond" w:eastAsia="Garamond" w:hAnsi="Garamond" w:cs="Garamond"/>
          <w:sz w:val="22"/>
          <w:szCs w:val="22"/>
        </w:rPr>
      </w:pPr>
      <w:r w:rsidRPr="00D71D7D">
        <w:rPr>
          <w:rFonts w:ascii="Garamond" w:eastAsia="Garamond" w:hAnsi="Garamond" w:cs="Garamond"/>
          <w:sz w:val="22"/>
          <w:szCs w:val="22"/>
        </w:rPr>
        <w:t>El sector terciario en Colombia enfrenta múltiples desafíos económicos, sociales, tecnológicos y regulatorios durante 2026. Por ello, resulta fundamental que las empresas y el Gobierno Nacional desarrollen estrategias orientadas a fortalecer la estabilidad económica, promover la innovación, mejorar la capacitación laboral y fomentar la sostenibilidad empresarial.</w:t>
      </w:r>
    </w:p>
    <w:p w14:paraId="3025DFB6" w14:textId="77777777" w:rsidR="000D4DB7" w:rsidRPr="00D71D7D" w:rsidRDefault="000D4DB7" w:rsidP="0055208C">
      <w:pPr>
        <w:pStyle w:val="NormalWeb"/>
        <w:jc w:val="both"/>
        <w:rPr>
          <w:rFonts w:ascii="Garamond" w:eastAsia="Garamond" w:hAnsi="Garamond" w:cs="Garamond"/>
          <w:sz w:val="22"/>
          <w:szCs w:val="22"/>
        </w:rPr>
      </w:pPr>
      <w:r w:rsidRPr="00D71D7D">
        <w:rPr>
          <w:rFonts w:ascii="Garamond" w:eastAsia="Garamond" w:hAnsi="Garamond" w:cs="Garamond"/>
          <w:sz w:val="22"/>
          <w:szCs w:val="22"/>
        </w:rPr>
        <w:t>Asimismo, las organizaciones del sector servicios deben mantener una visión estratégica, flexible y adaptativa que les permita responder oportunamente a los cambios del entorno económico y aprovechar las oportunidades emergentes del mercado nacional e internacional.</w:t>
      </w:r>
    </w:p>
    <w:p w14:paraId="15E91701" w14:textId="77777777" w:rsidR="004051D4" w:rsidRDefault="004051D4" w:rsidP="004051D4">
      <w:pPr>
        <w:spacing w:before="3"/>
        <w:rPr>
          <w:rFonts w:ascii="Garamond" w:eastAsia="Garamond" w:hAnsi="Garamond" w:cs="Garamond"/>
          <w:b/>
          <w:color w:val="000000"/>
        </w:rPr>
      </w:pPr>
    </w:p>
    <w:p w14:paraId="2A2451D7" w14:textId="77777777" w:rsidR="004051D4" w:rsidRPr="00D71D7D" w:rsidRDefault="004051D4" w:rsidP="004051D4">
      <w:pPr>
        <w:pStyle w:val="Ttulo2"/>
        <w:tabs>
          <w:tab w:val="left" w:pos="979"/>
        </w:tabs>
        <w:rPr>
          <w:rFonts w:ascii="Garamond" w:eastAsia="Garamond" w:hAnsi="Garamond" w:cs="Garamond"/>
          <w:color w:val="auto"/>
          <w:sz w:val="24"/>
          <w:szCs w:val="24"/>
        </w:rPr>
      </w:pPr>
      <w:r w:rsidRPr="00D71D7D">
        <w:rPr>
          <w:rFonts w:ascii="Garamond" w:eastAsia="Garamond" w:hAnsi="Garamond" w:cs="Garamond"/>
          <w:color w:val="auto"/>
          <w:sz w:val="24"/>
          <w:szCs w:val="24"/>
        </w:rPr>
        <w:t>MARCO LEGAL O NORMATIVO</w:t>
      </w:r>
    </w:p>
    <w:p w14:paraId="4E645BBA" w14:textId="77777777" w:rsidR="004051D4" w:rsidRPr="00FA7473" w:rsidRDefault="004051D4" w:rsidP="004051D4">
      <w:pPr>
        <w:spacing w:before="248" w:line="232" w:lineRule="auto"/>
        <w:ind w:right="256"/>
        <w:jc w:val="both"/>
        <w:rPr>
          <w:rFonts w:ascii="Garamond" w:eastAsia="Garamond" w:hAnsi="Garamond" w:cs="Garamond"/>
        </w:rPr>
      </w:pPr>
      <w:r w:rsidRPr="00FA7473">
        <w:rPr>
          <w:rFonts w:ascii="Garamond" w:eastAsia="Garamond" w:hAnsi="Garamond" w:cs="Garamond"/>
        </w:rPr>
        <w:t>El presente proceso de menor cuantía deberá cumplir con las etapas contractuales dispuestas por la ley, la idoneidad y experiencia en el desarrollo del objeto contractual del oferente. El contrato que llegase a celebrarse debe regirse por la ley colombiana y en especial, por las normas contenidas en la Constitución Política de Colombia y las siguientes:</w:t>
      </w:r>
    </w:p>
    <w:p w14:paraId="7B1FD85E" w14:textId="77777777" w:rsidR="004051D4" w:rsidRDefault="004051D4" w:rsidP="004051D4">
      <w:pPr>
        <w:spacing w:before="248" w:line="232" w:lineRule="auto"/>
        <w:ind w:right="256"/>
        <w:jc w:val="both"/>
        <w:rPr>
          <w:rFonts w:ascii="Garamond" w:eastAsia="Garamond" w:hAnsi="Garamond" w:cs="Garamond"/>
          <w:color w:val="000000"/>
        </w:rPr>
      </w:pPr>
    </w:p>
    <w:p w14:paraId="0FBC7A46" w14:textId="77777777" w:rsidR="004051D4" w:rsidRDefault="004051D4" w:rsidP="004051D4">
      <w:pPr>
        <w:jc w:val="both"/>
        <w:rPr>
          <w:rFonts w:ascii="Garamond" w:eastAsia="Garamond" w:hAnsi="Garamond" w:cs="Garamond"/>
        </w:rPr>
      </w:pPr>
      <w:r>
        <w:rPr>
          <w:rFonts w:ascii="Garamond" w:eastAsia="Garamond" w:hAnsi="Garamond" w:cs="Garamond"/>
          <w:b/>
          <w:color w:val="000000"/>
        </w:rPr>
        <w:t>Ley 80 de 1993</w:t>
      </w:r>
      <w:r>
        <w:rPr>
          <w:rFonts w:ascii="Garamond" w:eastAsia="Garamond" w:hAnsi="Garamond" w:cs="Garamond"/>
          <w:color w:val="000000"/>
        </w:rPr>
        <w:t xml:space="preserve"> “Por la cual se expide el Estatuto General de Contratación de la Administración Pública y </w:t>
      </w:r>
      <w:r>
        <w:rPr>
          <w:rFonts w:ascii="Garamond" w:eastAsia="Garamond" w:hAnsi="Garamond" w:cs="Garamond"/>
        </w:rPr>
        <w:t>se dictan otras disposiciones generales sobre la contratación con recursos públicos.”</w:t>
      </w:r>
    </w:p>
    <w:p w14:paraId="4CAB871A" w14:textId="77777777" w:rsidR="004051D4" w:rsidRDefault="004051D4" w:rsidP="004051D4">
      <w:pPr>
        <w:spacing w:before="248" w:line="232" w:lineRule="auto"/>
        <w:ind w:right="49"/>
        <w:jc w:val="both"/>
        <w:rPr>
          <w:rFonts w:ascii="Garamond" w:eastAsia="Garamond" w:hAnsi="Garamond" w:cs="Garamond"/>
          <w:color w:val="000000"/>
        </w:rPr>
      </w:pPr>
      <w:r>
        <w:rPr>
          <w:rFonts w:ascii="Garamond" w:eastAsia="Garamond" w:hAnsi="Garamond" w:cs="Garamond"/>
          <w:b/>
          <w:color w:val="000000"/>
        </w:rPr>
        <w:t>Ley 1150 de 2007</w:t>
      </w:r>
      <w:r>
        <w:rPr>
          <w:rFonts w:ascii="Garamond" w:eastAsia="Garamond" w:hAnsi="Garamond" w:cs="Garamond"/>
          <w:color w:val="000000"/>
        </w:rPr>
        <w:t xml:space="preserve"> “Por medio de la cual se introducen medidas para la eficiencia y la transparencia en la Ley 80 de 1993 y se dictan otras disposiciones”</w:t>
      </w:r>
    </w:p>
    <w:p w14:paraId="6B6AC8B5" w14:textId="77777777" w:rsidR="004051D4" w:rsidRDefault="004051D4" w:rsidP="004051D4">
      <w:pPr>
        <w:jc w:val="both"/>
        <w:rPr>
          <w:rFonts w:ascii="Garamond" w:eastAsia="Garamond" w:hAnsi="Garamond" w:cs="Garamond"/>
        </w:rPr>
      </w:pPr>
    </w:p>
    <w:p w14:paraId="7AA2C6E7" w14:textId="77777777" w:rsidR="004051D4" w:rsidRDefault="004051D4" w:rsidP="004051D4">
      <w:pPr>
        <w:jc w:val="both"/>
        <w:rPr>
          <w:rFonts w:ascii="Garamond" w:eastAsia="Garamond" w:hAnsi="Garamond" w:cs="Garamond"/>
        </w:rPr>
      </w:pPr>
      <w:r>
        <w:rPr>
          <w:rFonts w:ascii="Garamond" w:eastAsia="Garamond" w:hAnsi="Garamond" w:cs="Garamond"/>
          <w:b/>
        </w:rPr>
        <w:t>Ley 816 de 2003</w:t>
      </w:r>
      <w:r>
        <w:rPr>
          <w:rFonts w:ascii="Garamond" w:eastAsia="Garamond" w:hAnsi="Garamond" w:cs="Garamond"/>
        </w:rPr>
        <w:t xml:space="preserve"> “Por medio de la cual se apoya a la industria nacional por medio de la contratación pública”</w:t>
      </w:r>
    </w:p>
    <w:p w14:paraId="51B5958F" w14:textId="77777777" w:rsidR="004051D4" w:rsidRDefault="004051D4" w:rsidP="004051D4">
      <w:pPr>
        <w:jc w:val="both"/>
        <w:rPr>
          <w:rFonts w:ascii="Garamond" w:eastAsia="Garamond" w:hAnsi="Garamond" w:cs="Garamond"/>
        </w:rPr>
      </w:pPr>
    </w:p>
    <w:p w14:paraId="3E3782B7" w14:textId="77777777" w:rsidR="004051D4" w:rsidRDefault="004051D4" w:rsidP="004051D4">
      <w:pPr>
        <w:jc w:val="both"/>
        <w:rPr>
          <w:rFonts w:ascii="Garamond" w:eastAsia="Garamond" w:hAnsi="Garamond" w:cs="Garamond"/>
        </w:rPr>
      </w:pPr>
      <w:r>
        <w:rPr>
          <w:rFonts w:ascii="Garamond" w:eastAsia="Garamond" w:hAnsi="Garamond" w:cs="Garamond"/>
          <w:b/>
        </w:rPr>
        <w:t>Ley 1480 de 2011</w:t>
      </w:r>
      <w:r>
        <w:rPr>
          <w:rFonts w:ascii="Garamond" w:eastAsia="Garamond" w:hAnsi="Garamond" w:cs="Garamond"/>
        </w:rPr>
        <w:t xml:space="preserve"> “Por medio de la cual se expide el Estatuto del Consumidor y se dictan otras disposiciones”.</w:t>
      </w:r>
    </w:p>
    <w:p w14:paraId="729E724E" w14:textId="77777777" w:rsidR="004051D4" w:rsidRDefault="004051D4" w:rsidP="004051D4">
      <w:pPr>
        <w:jc w:val="both"/>
        <w:rPr>
          <w:rFonts w:ascii="Garamond" w:eastAsia="Garamond" w:hAnsi="Garamond" w:cs="Garamond"/>
        </w:rPr>
      </w:pPr>
    </w:p>
    <w:p w14:paraId="439413A5" w14:textId="77777777" w:rsidR="004051D4" w:rsidRDefault="004051D4" w:rsidP="004051D4">
      <w:pPr>
        <w:jc w:val="both"/>
        <w:rPr>
          <w:rFonts w:ascii="Garamond" w:eastAsia="Garamond" w:hAnsi="Garamond" w:cs="Garamond"/>
        </w:rPr>
      </w:pPr>
      <w:r>
        <w:rPr>
          <w:rFonts w:ascii="Garamond" w:eastAsia="Garamond" w:hAnsi="Garamond" w:cs="Garamond"/>
          <w:b/>
        </w:rPr>
        <w:t>Ley 1952 de 2019</w:t>
      </w:r>
      <w:r>
        <w:rPr>
          <w:rFonts w:ascii="Garamond" w:eastAsia="Garamond" w:hAnsi="Garamond" w:cs="Garamond"/>
        </w:rPr>
        <w:t xml:space="preserve"> “Por medio de la cual se expide el código general disciplinario se derogan la ley 734 de 2002 y algunas disposiciones de la ley 1474 de 2011, relacionadas con el derecho disciplinario</w:t>
      </w:r>
    </w:p>
    <w:p w14:paraId="22C27DC8" w14:textId="77777777" w:rsidR="004051D4" w:rsidRDefault="004051D4" w:rsidP="004051D4">
      <w:pPr>
        <w:jc w:val="both"/>
        <w:rPr>
          <w:rFonts w:ascii="Garamond" w:eastAsia="Garamond" w:hAnsi="Garamond" w:cs="Garamond"/>
        </w:rPr>
      </w:pPr>
    </w:p>
    <w:p w14:paraId="1A601728" w14:textId="77777777" w:rsidR="004051D4" w:rsidRDefault="004051D4" w:rsidP="004051D4">
      <w:pPr>
        <w:jc w:val="both"/>
        <w:rPr>
          <w:rFonts w:ascii="Garamond" w:eastAsia="Garamond" w:hAnsi="Garamond" w:cs="Garamond"/>
        </w:rPr>
      </w:pPr>
      <w:r>
        <w:rPr>
          <w:rFonts w:ascii="Garamond" w:eastAsia="Garamond" w:hAnsi="Garamond" w:cs="Garamond"/>
          <w:b/>
        </w:rPr>
        <w:t>Ley 2069 de 2020</w:t>
      </w:r>
      <w:r>
        <w:rPr>
          <w:rFonts w:ascii="Garamond" w:eastAsia="Garamond" w:hAnsi="Garamond" w:cs="Garamond"/>
        </w:rPr>
        <w:t xml:space="preserve"> “Por medio de la cual se impulsa el emprendimiento en Colombia.”</w:t>
      </w:r>
    </w:p>
    <w:p w14:paraId="73652787" w14:textId="77777777" w:rsidR="004051D4" w:rsidRDefault="004051D4" w:rsidP="004051D4">
      <w:pPr>
        <w:jc w:val="both"/>
        <w:rPr>
          <w:rFonts w:ascii="Garamond" w:eastAsia="Garamond" w:hAnsi="Garamond" w:cs="Garamond"/>
        </w:rPr>
      </w:pPr>
    </w:p>
    <w:p w14:paraId="0AAA699F" w14:textId="77777777" w:rsidR="004051D4" w:rsidRDefault="004051D4" w:rsidP="004051D4">
      <w:pPr>
        <w:jc w:val="both"/>
        <w:rPr>
          <w:rFonts w:ascii="Garamond" w:eastAsia="Garamond" w:hAnsi="Garamond" w:cs="Garamond"/>
        </w:rPr>
      </w:pPr>
      <w:r>
        <w:rPr>
          <w:rFonts w:ascii="Garamond" w:eastAsia="Garamond" w:hAnsi="Garamond" w:cs="Garamond"/>
          <w:b/>
        </w:rPr>
        <w:t>Decreto 1082 de 2015</w:t>
      </w:r>
      <w:r>
        <w:rPr>
          <w:rFonts w:ascii="Garamond" w:eastAsia="Garamond" w:hAnsi="Garamond" w:cs="Garamond"/>
        </w:rPr>
        <w:t xml:space="preserve"> “Por medio del cual se expide el decreto único reglamentario del sector Administrativo de Planeación Nacional"</w:t>
      </w:r>
    </w:p>
    <w:p w14:paraId="46A2AABD" w14:textId="77777777" w:rsidR="004051D4" w:rsidRDefault="004051D4" w:rsidP="004051D4">
      <w:pPr>
        <w:jc w:val="both"/>
        <w:rPr>
          <w:rFonts w:ascii="Garamond" w:eastAsia="Garamond" w:hAnsi="Garamond" w:cs="Garamond"/>
        </w:rPr>
      </w:pPr>
    </w:p>
    <w:p w14:paraId="697CF46B" w14:textId="77777777" w:rsidR="004051D4" w:rsidRDefault="004051D4" w:rsidP="004051D4">
      <w:pPr>
        <w:jc w:val="both"/>
        <w:rPr>
          <w:rFonts w:ascii="Garamond" w:eastAsia="Garamond" w:hAnsi="Garamond" w:cs="Garamond"/>
        </w:rPr>
      </w:pPr>
      <w:r>
        <w:rPr>
          <w:rFonts w:ascii="Garamond" w:eastAsia="Garamond" w:hAnsi="Garamond" w:cs="Garamond"/>
          <w:b/>
        </w:rPr>
        <w:t>Decreto 1860 de 2021</w:t>
      </w:r>
      <w:r>
        <w:rPr>
          <w:rFonts w:ascii="Garamond" w:eastAsia="Garamond" w:hAnsi="Garamond" w:cs="Garamond"/>
        </w:rPr>
        <w:t xml:space="preserve"> “Por el cual se modifica y adiciona el Decreto 1082 de 2015, Único Reglamentario del Sector Administrativo de Planeación Nacional, con el fin reglamentar los artículos 30, 31, 32, 34 y 35 de la Ley 2069 de 2020, en lo relativo al sistema de compras públicas y se dictan otras disposiciones."</w:t>
      </w:r>
    </w:p>
    <w:p w14:paraId="79B98BF4" w14:textId="77777777" w:rsidR="004051D4" w:rsidRDefault="004051D4" w:rsidP="004051D4">
      <w:pPr>
        <w:jc w:val="both"/>
        <w:rPr>
          <w:rFonts w:ascii="Garamond" w:eastAsia="Garamond" w:hAnsi="Garamond" w:cs="Garamond"/>
        </w:rPr>
      </w:pPr>
    </w:p>
    <w:p w14:paraId="5E3AFCBC" w14:textId="77777777" w:rsidR="004051D4" w:rsidRDefault="004051D4" w:rsidP="004051D4">
      <w:pPr>
        <w:jc w:val="both"/>
        <w:rPr>
          <w:rFonts w:ascii="Garamond" w:eastAsia="Garamond" w:hAnsi="Garamond" w:cs="Garamond"/>
        </w:rPr>
      </w:pPr>
      <w:r>
        <w:rPr>
          <w:rFonts w:ascii="Garamond" w:eastAsia="Garamond" w:hAnsi="Garamond" w:cs="Garamond"/>
          <w:b/>
        </w:rPr>
        <w:lastRenderedPageBreak/>
        <w:t>Decreto 332 de 2020 de la Alcaldía Mayor de Bogotá, D.C.:</w:t>
      </w:r>
      <w:r>
        <w:rPr>
          <w:rFonts w:ascii="Garamond" w:eastAsia="Garamond" w:hAnsi="Garamond" w:cs="Garamond"/>
        </w:rPr>
        <w:t xml:space="preserve"> “Por medio del cual se establecen medidas afirmativas para promover la participación de las mujeres en la contratación del Distrito Capital”</w:t>
      </w:r>
    </w:p>
    <w:p w14:paraId="17FEA41F" w14:textId="77777777" w:rsidR="004051D4" w:rsidRDefault="004051D4" w:rsidP="004051D4">
      <w:pPr>
        <w:jc w:val="both"/>
        <w:rPr>
          <w:rFonts w:ascii="Garamond" w:eastAsia="Garamond" w:hAnsi="Garamond" w:cs="Garamond"/>
        </w:rPr>
      </w:pPr>
    </w:p>
    <w:p w14:paraId="1EEAFB5A" w14:textId="77777777" w:rsidR="004051D4" w:rsidRDefault="004051D4" w:rsidP="004051D4">
      <w:pPr>
        <w:jc w:val="both"/>
        <w:rPr>
          <w:rFonts w:ascii="Garamond" w:eastAsia="Garamond" w:hAnsi="Garamond" w:cs="Garamond"/>
        </w:rPr>
      </w:pPr>
      <w:r>
        <w:rPr>
          <w:rFonts w:ascii="Garamond" w:eastAsia="Garamond" w:hAnsi="Garamond" w:cs="Garamond"/>
          <w:b/>
        </w:rPr>
        <w:t>Ley 1314 de 2009:</w:t>
      </w:r>
      <w:r>
        <w:rPr>
          <w:rFonts w:ascii="Garamond" w:eastAsia="Garamond" w:hAnsi="Garamond" w:cs="Garamond"/>
        </w:rPr>
        <w:t xml:space="preserve"> “Por la cual se regulan los principios y normas de contabilidad e información financiera y de aseguramiento de información aceptados en Colombia, se señalan las autoridades competentes, el procedimiento para su expedición y se determinan las entidades responsables de vigilar su cumplimiento.</w:t>
      </w:r>
    </w:p>
    <w:p w14:paraId="37B9671D" w14:textId="77777777" w:rsidR="004051D4" w:rsidRDefault="004051D4" w:rsidP="004051D4">
      <w:pPr>
        <w:rPr>
          <w:rFonts w:ascii="Garamond" w:eastAsia="Garamond" w:hAnsi="Garamond" w:cs="Garamond"/>
        </w:rPr>
      </w:pPr>
    </w:p>
    <w:p w14:paraId="5EB59EF2" w14:textId="77777777" w:rsidR="004051D4" w:rsidRDefault="004051D4" w:rsidP="004051D4">
      <w:pPr>
        <w:ind w:right="113" w:firstLine="1"/>
        <w:jc w:val="both"/>
        <w:rPr>
          <w:rFonts w:ascii="Garamond" w:eastAsia="Garamond" w:hAnsi="Garamond" w:cs="Garamond"/>
        </w:rPr>
      </w:pPr>
      <w:r>
        <w:rPr>
          <w:rFonts w:ascii="Garamond" w:eastAsia="Garamond" w:hAnsi="Garamond" w:cs="Garamond"/>
          <w:b/>
        </w:rPr>
        <w:t>Resolución No. 533 de 2015 de la Contaduría General de la Nación</w:t>
      </w:r>
      <w:r>
        <w:rPr>
          <w:rFonts w:ascii="Garamond" w:eastAsia="Garamond" w:hAnsi="Garamond" w:cs="Garamond"/>
        </w:rPr>
        <w:t xml:space="preserve"> "Por lo cual se incorpora, en el régimen de Contabilidad Pública, el marco normativo aplicable a entidades de gobierno y se dictan otras disposiciones". </w:t>
      </w:r>
    </w:p>
    <w:p w14:paraId="789F9AD4" w14:textId="77777777" w:rsidR="004051D4" w:rsidRDefault="004051D4" w:rsidP="004051D4">
      <w:pPr>
        <w:ind w:right="113" w:firstLine="1"/>
        <w:jc w:val="both"/>
        <w:rPr>
          <w:rFonts w:ascii="Garamond" w:eastAsia="Garamond" w:hAnsi="Garamond" w:cs="Garamond"/>
        </w:rPr>
      </w:pPr>
    </w:p>
    <w:p w14:paraId="1E03ACF5" w14:textId="77777777" w:rsidR="004051D4" w:rsidRDefault="004051D4" w:rsidP="004051D4">
      <w:pPr>
        <w:ind w:right="113" w:firstLine="1"/>
        <w:jc w:val="both"/>
        <w:rPr>
          <w:rFonts w:ascii="Garamond" w:eastAsia="Garamond" w:hAnsi="Garamond" w:cs="Garamond"/>
        </w:rPr>
      </w:pPr>
      <w:r>
        <w:rPr>
          <w:rFonts w:ascii="Garamond" w:eastAsia="Garamond" w:hAnsi="Garamond" w:cs="Garamond"/>
          <w:b/>
        </w:rPr>
        <w:t>Instructivo 002 de 2015 de la Contaduría General de la Nación</w:t>
      </w:r>
      <w:r>
        <w:rPr>
          <w:rFonts w:ascii="Garamond" w:eastAsia="Garamond" w:hAnsi="Garamond" w:cs="Garamond"/>
        </w:rPr>
        <w:t xml:space="preserve"> referente a "instrucciones para la transición al Marco normativo para entidades de gobierno" para las entidades de gobierno, vigente a partir del 1 ° de enero de 2017</w:t>
      </w:r>
    </w:p>
    <w:p w14:paraId="0E0EE2E3" w14:textId="77777777" w:rsidR="004051D4" w:rsidRDefault="004051D4" w:rsidP="004051D4">
      <w:pPr>
        <w:ind w:right="113" w:firstLine="1"/>
        <w:jc w:val="both"/>
        <w:rPr>
          <w:rFonts w:ascii="Garamond" w:eastAsia="Garamond" w:hAnsi="Garamond" w:cs="Garamond"/>
        </w:rPr>
      </w:pPr>
    </w:p>
    <w:p w14:paraId="6C22D490" w14:textId="77777777" w:rsidR="004051D4" w:rsidRDefault="004051D4" w:rsidP="004051D4">
      <w:pPr>
        <w:ind w:right="113" w:firstLine="1"/>
        <w:jc w:val="both"/>
        <w:rPr>
          <w:rFonts w:ascii="Garamond" w:eastAsia="Garamond" w:hAnsi="Garamond" w:cs="Garamond"/>
        </w:rPr>
      </w:pPr>
      <w:r>
        <w:rPr>
          <w:rFonts w:ascii="Garamond" w:eastAsia="Garamond" w:hAnsi="Garamond" w:cs="Garamond"/>
          <w:b/>
        </w:rPr>
        <w:t>Resolución 693 de 2016 de la Contaduría General de la Nación</w:t>
      </w:r>
      <w:r>
        <w:rPr>
          <w:rFonts w:ascii="Garamond" w:eastAsia="Garamond" w:hAnsi="Garamond" w:cs="Garamond"/>
        </w:rPr>
        <w:t xml:space="preserve"> "Por lo cual se modifica el cronograma de aplicación del marco Normativo para Entidades de Gobierno, incorporado al Régimen de Contabilidad Pública mediante la Resolución 533 de 2015 y la regulación emitida en concordancia con el cronograma de aplicación de dicho marco normativo".</w:t>
      </w:r>
    </w:p>
    <w:p w14:paraId="0F4177B3" w14:textId="77777777" w:rsidR="004051D4" w:rsidRDefault="004051D4" w:rsidP="004051D4">
      <w:pPr>
        <w:ind w:right="113" w:firstLine="1"/>
        <w:jc w:val="both"/>
        <w:rPr>
          <w:rFonts w:ascii="Garamond" w:eastAsia="Garamond" w:hAnsi="Garamond" w:cs="Garamond"/>
        </w:rPr>
      </w:pPr>
    </w:p>
    <w:p w14:paraId="5D99CA58" w14:textId="77777777" w:rsidR="004051D4" w:rsidRDefault="004051D4" w:rsidP="004051D4">
      <w:pPr>
        <w:jc w:val="both"/>
        <w:rPr>
          <w:rFonts w:ascii="Garamond" w:eastAsia="Garamond" w:hAnsi="Garamond" w:cs="Garamond"/>
        </w:rPr>
      </w:pPr>
      <w:r>
        <w:rPr>
          <w:rFonts w:ascii="Garamond" w:eastAsia="Garamond" w:hAnsi="Garamond" w:cs="Garamond"/>
          <w:b/>
        </w:rPr>
        <w:t>Directiva N. 001 de 2017 de la Alcaldía Mayor de Bogotá D.C</w:t>
      </w:r>
      <w:r>
        <w:rPr>
          <w:rFonts w:ascii="Garamond" w:eastAsia="Garamond" w:hAnsi="Garamond" w:cs="Garamond"/>
        </w:rPr>
        <w:t>. con asunto "Actualización Directiva N.º 007 de 2016 lineamientos para la implementación del nuevo Marco Normativo de regulación contable pública aplicable a entidades de gobierno en Bogotá Distrito Capital.</w:t>
      </w:r>
    </w:p>
    <w:p w14:paraId="6FF47446" w14:textId="77777777" w:rsidR="004051D4" w:rsidRPr="00BF757C" w:rsidRDefault="004051D4" w:rsidP="004051D4">
      <w:pPr>
        <w:pBdr>
          <w:top w:val="nil"/>
          <w:left w:val="nil"/>
          <w:bottom w:val="nil"/>
          <w:right w:val="nil"/>
          <w:between w:val="nil"/>
        </w:pBdr>
        <w:spacing w:line="235" w:lineRule="auto"/>
        <w:ind w:right="49"/>
        <w:jc w:val="both"/>
        <w:rPr>
          <w:rFonts w:ascii="Garamond" w:eastAsia="Garamond" w:hAnsi="Garamond" w:cs="Garamond"/>
          <w:color w:val="000000"/>
        </w:rPr>
      </w:pPr>
    </w:p>
    <w:p w14:paraId="101D8743" w14:textId="77777777" w:rsidR="004051D4" w:rsidRPr="00D71D7D" w:rsidRDefault="004051D4" w:rsidP="00BC473D">
      <w:pPr>
        <w:pStyle w:val="Ttulo2"/>
        <w:tabs>
          <w:tab w:val="left" w:pos="1342"/>
        </w:tabs>
        <w:spacing w:line="235" w:lineRule="auto"/>
        <w:ind w:right="258"/>
        <w:rPr>
          <w:rFonts w:ascii="Garamond" w:eastAsia="Garamond" w:hAnsi="Garamond" w:cs="Garamond"/>
          <w:color w:val="auto"/>
          <w:sz w:val="24"/>
          <w:szCs w:val="24"/>
        </w:rPr>
      </w:pPr>
      <w:r w:rsidRPr="00D71D7D">
        <w:rPr>
          <w:rFonts w:ascii="Garamond" w:eastAsia="Garamond" w:hAnsi="Garamond" w:cs="Garamond"/>
          <w:color w:val="auto"/>
          <w:sz w:val="24"/>
          <w:szCs w:val="24"/>
        </w:rPr>
        <w:t>DE CUMPLIMIENTO DE NORMAS QUE ACOMPAÑARÁN EL PROYECTO</w:t>
      </w:r>
    </w:p>
    <w:p w14:paraId="57DAC31F" w14:textId="77777777" w:rsidR="004051D4" w:rsidRDefault="004051D4" w:rsidP="004051D4">
      <w:pPr>
        <w:pBdr>
          <w:top w:val="nil"/>
          <w:left w:val="nil"/>
          <w:bottom w:val="nil"/>
          <w:right w:val="nil"/>
          <w:between w:val="nil"/>
        </w:pBdr>
        <w:spacing w:line="246" w:lineRule="auto"/>
        <w:jc w:val="both"/>
        <w:rPr>
          <w:rFonts w:ascii="Garamond" w:eastAsia="Garamond" w:hAnsi="Garamond" w:cs="Garamond"/>
          <w:color w:val="000000"/>
        </w:rPr>
      </w:pPr>
    </w:p>
    <w:p w14:paraId="7E7C556C" w14:textId="77777777" w:rsidR="004051D4" w:rsidRDefault="004051D4" w:rsidP="004051D4">
      <w:pPr>
        <w:spacing w:line="244" w:lineRule="auto"/>
        <w:jc w:val="both"/>
        <w:rPr>
          <w:rFonts w:ascii="Garamond" w:eastAsia="Garamond" w:hAnsi="Garamond" w:cs="Garamond"/>
        </w:rPr>
      </w:pPr>
      <w:r w:rsidRPr="00BF757C">
        <w:rPr>
          <w:rFonts w:ascii="Garamond" w:eastAsia="Garamond" w:hAnsi="Garamond" w:cs="Garamond"/>
          <w:color w:val="000000"/>
        </w:rPr>
        <w:t xml:space="preserve">Desde el sector </w:t>
      </w:r>
      <w:r>
        <w:rPr>
          <w:rFonts w:ascii="Garamond" w:eastAsia="Garamond" w:hAnsi="Garamond" w:cs="Garamond"/>
          <w:color w:val="000000"/>
        </w:rPr>
        <w:t xml:space="preserve">Gobierno </w:t>
      </w:r>
      <w:r w:rsidRPr="00BF757C">
        <w:rPr>
          <w:rFonts w:ascii="Garamond" w:eastAsia="Garamond" w:hAnsi="Garamond" w:cs="Garamond"/>
          <w:color w:val="000000"/>
        </w:rPr>
        <w:t xml:space="preserve">que ejecuta políticas públicas y sociales </w:t>
      </w:r>
      <w:r w:rsidRPr="00BF757C">
        <w:rPr>
          <w:rFonts w:ascii="Garamond" w:eastAsia="Garamond" w:hAnsi="Garamond" w:cs="Garamond"/>
        </w:rPr>
        <w:t>dirigidas</w:t>
      </w:r>
      <w:r w:rsidRPr="00BF757C">
        <w:rPr>
          <w:rFonts w:ascii="Garamond" w:eastAsia="Garamond" w:hAnsi="Garamond" w:cs="Garamond"/>
          <w:color w:val="000000"/>
        </w:rPr>
        <w:t xml:space="preserve"> a</w:t>
      </w:r>
      <w:r>
        <w:rPr>
          <w:rFonts w:ascii="Garamond" w:eastAsia="Garamond" w:hAnsi="Garamond" w:cs="Garamond"/>
          <w:color w:val="000000"/>
        </w:rPr>
        <w:t>l</w:t>
      </w:r>
      <w:r w:rsidRPr="00BF757C">
        <w:rPr>
          <w:rFonts w:ascii="Garamond" w:eastAsia="Garamond" w:hAnsi="Garamond" w:cs="Garamond"/>
          <w:color w:val="000000"/>
        </w:rPr>
        <w:t xml:space="preserve"> </w:t>
      </w:r>
      <w:r>
        <w:rPr>
          <w:rFonts w:ascii="Garamond" w:eastAsia="Garamond" w:hAnsi="Garamond" w:cs="Garamond"/>
        </w:rPr>
        <w:t>Fortalecimiento a organizaciones comunales.</w:t>
      </w:r>
    </w:p>
    <w:p w14:paraId="02E61649" w14:textId="77777777" w:rsidR="004051D4" w:rsidRPr="00BF757C" w:rsidRDefault="004051D4" w:rsidP="004051D4">
      <w:pPr>
        <w:pBdr>
          <w:top w:val="nil"/>
          <w:left w:val="nil"/>
          <w:bottom w:val="nil"/>
          <w:right w:val="nil"/>
          <w:between w:val="nil"/>
        </w:pBdr>
        <w:spacing w:line="246" w:lineRule="auto"/>
        <w:jc w:val="both"/>
        <w:rPr>
          <w:rFonts w:ascii="Garamond" w:eastAsia="Garamond" w:hAnsi="Garamond" w:cs="Garamond"/>
          <w:color w:val="000000"/>
        </w:rPr>
      </w:pPr>
    </w:p>
    <w:p w14:paraId="4FF1A059"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Que la Constitución Política de Colombia de 1993 orienta la gestión del Gobierno Nacional en el marco del fomento de una democracia más incluyente, efectiva e incidente, desde la gestión de las políticas, planes, programas y proyectos sociales territoriales, estableciendo así los mecanismos para la dinamización de la participación ciudadana.</w:t>
      </w:r>
    </w:p>
    <w:p w14:paraId="03A14829"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Que la Ley Estatutaria de participación Ciudadana se rige bajo la Ley 1757 de 2015, dicta las disposiciones en materia de promoción y protección del derecho a la participación democrática en Colombia, y establece como pilares fundamentales:</w:t>
      </w:r>
    </w:p>
    <w:p w14:paraId="5D59FE7F"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1.</w:t>
      </w:r>
      <w:r w:rsidRPr="00BF757C">
        <w:rPr>
          <w:rFonts w:ascii="Garamond" w:eastAsia="Garamond" w:hAnsi="Garamond" w:cs="Garamond"/>
        </w:rPr>
        <w:tab/>
        <w:t>Los mecanismos de participación ciudadana y la flexibilización que garantiza su utilización frecuente y efectiva.</w:t>
      </w:r>
    </w:p>
    <w:p w14:paraId="6085316A"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2.</w:t>
      </w:r>
      <w:r w:rsidRPr="00BF757C">
        <w:rPr>
          <w:rFonts w:ascii="Garamond" w:eastAsia="Garamond" w:hAnsi="Garamond" w:cs="Garamond"/>
        </w:rPr>
        <w:tab/>
        <w:t>La rendición pública de cuentas y el control social a lo público, una función dual, que permite brindarle al ciudadano las herramientas necesarias para consolidar su rol de observador y garante de los movimientos y decisiones de la administración pública en sus territorios.</w:t>
      </w:r>
    </w:p>
    <w:p w14:paraId="70C5A332"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lastRenderedPageBreak/>
        <w:t>3.</w:t>
      </w:r>
      <w:r w:rsidRPr="00BF757C">
        <w:rPr>
          <w:rFonts w:ascii="Garamond" w:eastAsia="Garamond" w:hAnsi="Garamond" w:cs="Garamond"/>
        </w:rPr>
        <w:tab/>
        <w:t>La coordinación y promoción de la participación ciudadana, la cual le otorga un especial protagonismo al Consejo Nacional de Participación como elemento constitutivo del Sistema Nacional de Participación a implementarse en el país y como órgano consultivo y de deliberación formado por diversos sectores de la institucionalidad y de la sociedad civil en su conjunto.</w:t>
      </w:r>
    </w:p>
    <w:p w14:paraId="6912A062"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Que el artículo 1º de la Ley 152 de 1994 menciona que, tiene como propósito establecer los procedimientos y mecanismos para la elaboración, aprobación, ejecución, seguimiento, evaluación y control de los planes de desarrollo, así como la regulación de los demás aspectos contemplados por el artículo 342, y en general por el artículo 2 del Título XII de la Constitución Política y demás normas constitucionales que se refieren al plan de desarrollo y la planificación.</w:t>
      </w:r>
    </w:p>
    <w:p w14:paraId="0A9FCD1C"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Que el numeral 4º modificado por el artículo 88 de la Ley 617 de 2000 preceptúa que, la JAL puede aprobar el presupuesto anual del respectivo fondo de desarrollo, previo concepto favorable del consejo distrital de política económica y fiscal y de conformidad con los programas y proyectos del plan de desarrollo local.</w:t>
      </w:r>
    </w:p>
    <w:p w14:paraId="2F8C682A"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Que corresponde a la administración de las alcaldías locales y de los Fondos de Desarrollo Local la ejecución de las inversiones contenidas en el Plan de Desarrollo Local en concurrencia con el Plan Distrital de Desarrollo, las cuales deben responder a los principios administrativos de concurrencia, subsidiariedad, complementariedad y de coordinación del nivel central con el local.</w:t>
      </w:r>
    </w:p>
    <w:p w14:paraId="3884E78E"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Que el artículo 7 del Decreto Distrital 768 de 2019 menciona que, las líneas de inversión local son una herramienta de planeación de carácter vinculante y específico que, en el marco de las competencias locales, permiten a la Administración Distrital orientar estratégicamente las inversiones que serán incorporadas en el Plan de Desarrollo Local. Estas líneas describen los conceptos de gasto de inversión autorizados a los Fondos de Desarrollo Local para el cumplimiento de las competencias, en el marco de los Planes de Desarrollo Local y Distrital.</w:t>
      </w:r>
    </w:p>
    <w:p w14:paraId="5DB3F353"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Que mediante la Circular Conjunta No. 006 del 22 de febrero de 2024, las Secretarías Distrital de Gobierno, Distrital de Planeación, y el Director General del Instituto Distrital de la Participación y Acción Comunal - IDPAC, fijaron los lineamientos para la realización de los encuentros ciudadanos y la formulación de planes de desarrollo local 2025-2028, de conformidad con el marco legal contenido en el Acuerdo Distrital No. 740 de 2019, el Decreto Reglamentario 768 de 2019 y el Decreto reglamentario 495 del 2023 lo anterior de acuerdo con lo dispuesto en la Ley 1757 de 2015 “Estatuto de la Participación”.</w:t>
      </w:r>
    </w:p>
    <w:p w14:paraId="5B8A8E98"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Que el Consejo Distrital de Política Económica y Fiscal – CONFIS mediante Circular 04 del 02 de julio de 2024 determinó los lineamientos de política para las líneas de inversión local 2025-2028 y presupuestos participativos.</w:t>
      </w:r>
    </w:p>
    <w:p w14:paraId="6D8D3615"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Que el Consejo en comento; mediante Circular No. 04 del 02 de julio de 2024 modifica los lineamientos de política para las líneas de inversión local 2025-2028 y presupuestos participativos.</w:t>
      </w:r>
    </w:p>
    <w:p w14:paraId="5D60ADCD"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Que de conformidad con el Artículo 62 del Acuerdo Distrital 878 de 2023, “la Junta Administradora Local, debe decidir sobre la aprobación de los Planes de Desarrollo Local de conformidad con lo estipulado en el artículo 13 inciso 2 del Decreto Ley 1421 de 1993, donde se ubica exclusivamente en cabeza de la Administración Local la iniciativa en materia de Planes de Desarrollo”.</w:t>
      </w:r>
    </w:p>
    <w:p w14:paraId="60F87A25" w14:textId="02814691"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 xml:space="preserve">A través del Acuerdo Local No. 136 del 28 de </w:t>
      </w:r>
      <w:r w:rsidR="00BC473D" w:rsidRPr="00BF757C">
        <w:rPr>
          <w:rFonts w:ascii="Garamond" w:eastAsia="Garamond" w:hAnsi="Garamond" w:cs="Garamond"/>
        </w:rPr>
        <w:t>agosto</w:t>
      </w:r>
      <w:r w:rsidRPr="00BF757C">
        <w:rPr>
          <w:rFonts w:ascii="Garamond" w:eastAsia="Garamond" w:hAnsi="Garamond" w:cs="Garamond"/>
        </w:rPr>
        <w:t xml:space="preserve"> de 2024, por el cual se adopta el plan de desarrollo económico, social, ambiental y de obras Públicas para la localidad de San Cristóbal 2025 -2028 “San Cristóbal Territorio de </w:t>
      </w:r>
      <w:r w:rsidRPr="00BF757C">
        <w:rPr>
          <w:rFonts w:ascii="Garamond" w:eastAsia="Garamond" w:hAnsi="Garamond" w:cs="Garamond"/>
        </w:rPr>
        <w:lastRenderedPageBreak/>
        <w:t>Oportunidades, Camina Segura”, El proyecto orienta sus acciones a la corresponsabilidad de la ciudadanía organizada en cuanto al cumplimiento del Objetivo 5: “Bogotá Confía en su Gobierno” del Plan Distrital de Desarrollo “Bogotá Camina Segura”.</w:t>
      </w:r>
    </w:p>
    <w:p w14:paraId="3772D421"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A través del Acuerdo Distrital 606 de 2023 “Por medio del cual se dictan lineamientos para el Sistema Distrital de Planeación, la creación de planes de desarrollo, se garantiza la participación ciudadana en el Distrito Capital y se dictan otras disposiciones”, se establecen los lineamientos para la gestión de procesos de planeación participativa incidente en la ciudad.</w:t>
      </w:r>
    </w:p>
    <w:p w14:paraId="4B40C50A"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El artículo 15 del Acuerdo Distrital 637 de 2016 que modifica el artículo 52 del Acuerdo Distrital 257 de 2006, en su tenor literal indica que “La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0ED3DC50"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Que en el artículo 6 del Acuerdo Distrital 740 de 2019, se establece: “La Alcaldía Local es una dependencia de la Secretaría Distrital de Gobierno, responsable de las competencias asignadas a las Alcaldía Locales. En este sentido, se ocupa de facilitar la acción del Distrito Capital en las localidades, y ejecutar las funciones delegadas por el alcalde Mayor o desconcentradas según las disposiciones legales, en cumplimiento de los fines del Distrito Capital.”</w:t>
      </w:r>
    </w:p>
    <w:p w14:paraId="70B7AE12"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 xml:space="preserve">En el mismo sentido, el Decreto Distrital 768 de 2019, el cual reglamenta el Acuerdo Distrital 740 de 2019; en el artículo 4º. FUNCIONAMIENTO. Determina que: “La Alcaldía Local es la responsable de formular, ejecutar y hacer seguimiento a los proyectos de inversión en el marco del Plan de Desarrollo Local con cargo a los recursos del respectivo Fondo de Desarrollo Local, a través de la elaboración y ejecución del presupuesto, la gestión de proyectos de inversión y procesos contractuales, así como la ordenación de gastos y pagos, y la administración de bienes de propiedad del Fondo.” </w:t>
      </w:r>
    </w:p>
    <w:p w14:paraId="519DCD8B"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Del mismo Decreto Distrital se extrae que, los Fondos de Desarrollo Local atenderán los lineamientos que definan de manera conjunta la Secretaría Distrital de Hacienda y la Secretaría Distrital de Planeación, para realizar de manera oportuna y adecuada la gestión presupuestal dentro del proceso de programación, ejecución, seguimiento y cierre presupuestal.</w:t>
      </w:r>
    </w:p>
    <w:p w14:paraId="2DE321A4" w14:textId="77777777" w:rsidR="004051D4" w:rsidRPr="00BF757C" w:rsidRDefault="004051D4" w:rsidP="004051D4">
      <w:pPr>
        <w:widowControl/>
        <w:spacing w:after="160"/>
        <w:jc w:val="both"/>
        <w:rPr>
          <w:rFonts w:ascii="Garamond" w:eastAsia="Garamond" w:hAnsi="Garamond" w:cs="Garamond"/>
        </w:rPr>
      </w:pPr>
      <w:r w:rsidRPr="00BF757C">
        <w:rPr>
          <w:rFonts w:ascii="Garamond" w:eastAsia="Garamond" w:hAnsi="Garamond" w:cs="Garamond"/>
        </w:rPr>
        <w:t>Los Fondos de Desarrollo Local, dispondrán de los recursos que le sean asignados de conformidad con lo establecido en el artículo 9 del Acuerdo Distrital 740 de 2019, con el propósito de atender los principios de transparencia, economía y responsabilidad, orientados a la adecuada planeación, inversión y ejecución de los recursos de los Fondos de Desarrollo Local. La Alcaldía Local adelantará la gestión contractual de conformidad con los procedimientos establecidos y la normatividad vigente.</w:t>
      </w:r>
    </w:p>
    <w:p w14:paraId="2B9260F2" w14:textId="5F8A203F" w:rsidR="004051D4" w:rsidRDefault="004051D4" w:rsidP="004051D4">
      <w:pPr>
        <w:widowControl/>
        <w:spacing w:after="160"/>
        <w:jc w:val="both"/>
        <w:rPr>
          <w:rFonts w:ascii="Garamond" w:eastAsia="Garamond" w:hAnsi="Garamond" w:cs="Garamond"/>
          <w:b/>
        </w:rPr>
      </w:pPr>
      <w:r>
        <w:rPr>
          <w:rFonts w:ascii="Garamond" w:eastAsia="Garamond" w:hAnsi="Garamond" w:cs="Garamond"/>
          <w:b/>
          <w:highlight w:val="white"/>
        </w:rPr>
        <w:t>INCLUSIÓN DE ENFOQUE DIFERENCIAL COMO CRITERIOS DE EVALUACIÓN Y CONDICIONES DE EJECUCIÓN</w:t>
      </w:r>
    </w:p>
    <w:p w14:paraId="299DF5BD" w14:textId="77777777" w:rsidR="004051D4" w:rsidRDefault="004051D4" w:rsidP="004051D4">
      <w:pPr>
        <w:widowControl/>
        <w:spacing w:after="160"/>
        <w:jc w:val="both"/>
        <w:rPr>
          <w:rFonts w:ascii="Garamond" w:eastAsia="Garamond" w:hAnsi="Garamond" w:cs="Garamond"/>
          <w:b/>
          <w:highlight w:val="white"/>
        </w:rPr>
      </w:pPr>
      <w:r>
        <w:rPr>
          <w:rFonts w:ascii="Garamond" w:hAnsi="Garamond"/>
        </w:rPr>
        <w:t xml:space="preserve">La Alcaldía Local de San Cristóbal, en atención a su principio rector de </w:t>
      </w:r>
      <w:r>
        <w:rPr>
          <w:rStyle w:val="Textoennegrita"/>
          <w:rFonts w:ascii="Garamond" w:hAnsi="Garamond"/>
        </w:rPr>
        <w:t>“Cero Discriminación”</w:t>
      </w:r>
      <w:r>
        <w:rPr>
          <w:rFonts w:ascii="Garamond" w:hAnsi="Garamond"/>
        </w:rPr>
        <w:t xml:space="preserve">, y en cumplimiento de los lineamientos del ordenamiento jurídico vigente en materia de derechos humanos, igualdad y no discriminación, en particular lo dispuesto en la </w:t>
      </w:r>
      <w:r>
        <w:rPr>
          <w:rStyle w:val="Textoennegrita"/>
          <w:rFonts w:ascii="Garamond" w:hAnsi="Garamond"/>
        </w:rPr>
        <w:t>Ley 1482 de 2011</w:t>
      </w:r>
      <w:r>
        <w:rPr>
          <w:rFonts w:ascii="Garamond" w:hAnsi="Garamond"/>
        </w:rPr>
        <w:t xml:space="preserve"> (por la cual se sancionan los actos de </w:t>
      </w:r>
      <w:r>
        <w:rPr>
          <w:rFonts w:ascii="Garamond" w:hAnsi="Garamond"/>
        </w:rPr>
        <w:lastRenderedPageBreak/>
        <w:t xml:space="preserve">discriminación), la </w:t>
      </w:r>
      <w:r>
        <w:rPr>
          <w:rStyle w:val="Textoennegrita"/>
          <w:rFonts w:ascii="Garamond" w:hAnsi="Garamond"/>
        </w:rPr>
        <w:t>Ley 1257 de 2008</w:t>
      </w:r>
      <w:r>
        <w:rPr>
          <w:rFonts w:ascii="Garamond" w:hAnsi="Garamond"/>
        </w:rPr>
        <w:t xml:space="preserve"> (por la cual se adoptan normas para sensibilizar, prevenir y sancionar formas de violencia y discriminación contra las mujeres), y el </w:t>
      </w:r>
      <w:r>
        <w:rPr>
          <w:rStyle w:val="Textoennegrita"/>
          <w:rFonts w:ascii="Garamond" w:hAnsi="Garamond"/>
        </w:rPr>
        <w:t>Decreto 1660 de 2003</w:t>
      </w:r>
      <w:r>
        <w:rPr>
          <w:rFonts w:ascii="Garamond" w:hAnsi="Garamond"/>
        </w:rPr>
        <w:t xml:space="preserve"> (que establece lineamientos para la inclusión de personas con discapacidad en programas, proyectos y servicios del Estado), promueve una gestión pública con </w:t>
      </w:r>
      <w:r>
        <w:rPr>
          <w:rStyle w:val="Textoennegrita"/>
          <w:rFonts w:ascii="Garamond" w:hAnsi="Garamond"/>
        </w:rPr>
        <w:t>enfoque de derechos</w:t>
      </w:r>
      <w:r>
        <w:rPr>
          <w:rFonts w:ascii="Garamond" w:hAnsi="Garamond"/>
          <w:b/>
          <w:bCs/>
        </w:rPr>
        <w:t xml:space="preserve">, </w:t>
      </w:r>
      <w:r>
        <w:rPr>
          <w:rStyle w:val="Textoennegrita"/>
          <w:rFonts w:ascii="Garamond" w:hAnsi="Garamond"/>
        </w:rPr>
        <w:t>equidad</w:t>
      </w:r>
      <w:r>
        <w:rPr>
          <w:rFonts w:ascii="Garamond" w:hAnsi="Garamond"/>
          <w:b/>
          <w:bCs/>
        </w:rPr>
        <w:t xml:space="preserve">, y </w:t>
      </w:r>
      <w:r>
        <w:rPr>
          <w:rStyle w:val="Textoennegrita"/>
          <w:rFonts w:ascii="Garamond" w:hAnsi="Garamond"/>
        </w:rPr>
        <w:t>reconocimiento de la diversidad étnica, cultural, de género y funcional</w:t>
      </w:r>
      <w:r>
        <w:rPr>
          <w:rFonts w:ascii="Garamond" w:hAnsi="Garamond"/>
        </w:rPr>
        <w:t>.</w:t>
      </w:r>
    </w:p>
    <w:p w14:paraId="2BE914A0" w14:textId="286FE842" w:rsidR="004051D4" w:rsidRDefault="004051D4" w:rsidP="00A733C7">
      <w:pPr>
        <w:pStyle w:val="NormalWeb"/>
        <w:jc w:val="both"/>
        <w:rPr>
          <w:rFonts w:ascii="Garamond" w:hAnsi="Garamond"/>
        </w:rPr>
      </w:pPr>
      <w:r>
        <w:rPr>
          <w:rFonts w:ascii="Garamond" w:hAnsi="Garamond"/>
        </w:rPr>
        <w:t>En consecuencia, toda persona natural o jurídica que se postule al presente proceso de contratación deberá incorporar de manera explícita en su propuesta técnica y en la ejecución contractual los</w:t>
      </w:r>
      <w:r>
        <w:rPr>
          <w:rFonts w:ascii="Garamond" w:hAnsi="Garamond"/>
          <w:b/>
          <w:bCs/>
        </w:rPr>
        <w:t xml:space="preserve"> </w:t>
      </w:r>
      <w:r>
        <w:rPr>
          <w:rStyle w:val="Textoennegrita"/>
          <w:rFonts w:ascii="Garamond" w:hAnsi="Garamond"/>
        </w:rPr>
        <w:t>enfoques diferenciales de género, etnicidad y discapacidad</w:t>
      </w:r>
      <w:r>
        <w:rPr>
          <w:rFonts w:ascii="Garamond" w:hAnsi="Garamond"/>
        </w:rPr>
        <w:t xml:space="preserve">, garantizando el respeto, la inclusión y la participación equitativa de poblaciones diversas, conforme a los principios establecidos en la </w:t>
      </w:r>
      <w:r>
        <w:rPr>
          <w:rStyle w:val="Textoennegrita"/>
          <w:rFonts w:ascii="Garamond" w:hAnsi="Garamond"/>
        </w:rPr>
        <w:t>Constitución Política de Colombia (artículos 13 y 93)</w:t>
      </w:r>
      <w:r>
        <w:rPr>
          <w:rFonts w:ascii="Garamond" w:hAnsi="Garamond"/>
          <w:b/>
          <w:bCs/>
        </w:rPr>
        <w:t>,</w:t>
      </w:r>
      <w:r>
        <w:rPr>
          <w:rFonts w:ascii="Garamond" w:hAnsi="Garamond"/>
        </w:rPr>
        <w:t xml:space="preserve"> así como en la normatividad distrital vigente en materia de inclusión y derechos humanos. El incumplimiento de este lineamiento podrá constituir causal de rechazo de la propuesta o dar lugar a medidas contractuales según lo establecido en el marco normativo</w:t>
      </w:r>
      <w:r w:rsidR="00A733C7">
        <w:rPr>
          <w:rFonts w:ascii="Garamond" w:hAnsi="Garamond"/>
        </w:rPr>
        <w:t xml:space="preserve"> </w:t>
      </w:r>
      <w:r>
        <w:rPr>
          <w:rFonts w:ascii="Garamond" w:hAnsi="Garamond"/>
        </w:rPr>
        <w:t>aplicable.</w:t>
      </w:r>
      <w:bookmarkStart w:id="0" w:name="_heading=h.6jb4kdfn96ej"/>
      <w:bookmarkEnd w:id="0"/>
      <w:r>
        <w:rPr>
          <w:rFonts w:ascii="Garamond" w:eastAsia="Garamond" w:hAnsi="Garamond" w:cs="Garamond"/>
          <w:b/>
        </w:rPr>
        <w:br/>
      </w:r>
    </w:p>
    <w:p w14:paraId="27C9041C" w14:textId="77777777" w:rsidR="004051D4" w:rsidRPr="00776AF2" w:rsidRDefault="004051D4" w:rsidP="00776AF2">
      <w:pPr>
        <w:widowControl/>
        <w:jc w:val="both"/>
        <w:rPr>
          <w:rFonts w:ascii="Garamond" w:eastAsia="Garamond" w:hAnsi="Garamond" w:cs="Garamond"/>
          <w:b/>
        </w:rPr>
      </w:pPr>
      <w:r w:rsidRPr="00776AF2">
        <w:rPr>
          <w:rFonts w:ascii="Garamond" w:eastAsia="Garamond" w:hAnsi="Garamond" w:cs="Garamond"/>
          <w:b/>
        </w:rPr>
        <w:t>CONDICIONES DE EJECUCIÓN CONTRACTUAL</w:t>
      </w:r>
    </w:p>
    <w:p w14:paraId="65AF72AC" w14:textId="77777777" w:rsidR="004051D4" w:rsidRDefault="004051D4" w:rsidP="00776AF2">
      <w:pPr>
        <w:widowControl/>
        <w:jc w:val="both"/>
        <w:rPr>
          <w:rFonts w:ascii="Garamond" w:eastAsia="Garamond" w:hAnsi="Garamond" w:cs="Garamond"/>
          <w:b/>
        </w:rPr>
      </w:pPr>
    </w:p>
    <w:p w14:paraId="4A064F91" w14:textId="1B97243F" w:rsidR="004051D4" w:rsidRDefault="004051D4" w:rsidP="00776AF2">
      <w:pPr>
        <w:widowControl/>
        <w:jc w:val="both"/>
        <w:rPr>
          <w:rFonts w:ascii="Garamond" w:eastAsia="Garamond" w:hAnsi="Garamond" w:cs="Garamond"/>
        </w:rPr>
      </w:pPr>
      <w:r>
        <w:rPr>
          <w:rFonts w:ascii="Garamond" w:eastAsia="Garamond" w:hAnsi="Garamond" w:cs="Garamond"/>
        </w:rPr>
        <w:t>La empresa adjudicataria deberá cumplir con los siguientes lineamientos durante toda la ejecución del contrato:</w:t>
      </w:r>
    </w:p>
    <w:p w14:paraId="105651FE" w14:textId="77777777" w:rsidR="004A3457" w:rsidRPr="004A3457" w:rsidRDefault="004A3457" w:rsidP="00776AF2">
      <w:pPr>
        <w:widowControl/>
        <w:jc w:val="both"/>
        <w:rPr>
          <w:rFonts w:ascii="Garamond" w:eastAsia="Garamond" w:hAnsi="Garamond" w:cs="Garamond"/>
        </w:rPr>
      </w:pPr>
    </w:p>
    <w:p w14:paraId="6F274677" w14:textId="77777777" w:rsidR="004051D4" w:rsidRPr="00102AA0" w:rsidRDefault="004051D4" w:rsidP="00776AF2">
      <w:pPr>
        <w:pStyle w:val="Ttulo4"/>
        <w:spacing w:before="0" w:after="0"/>
        <w:jc w:val="both"/>
        <w:rPr>
          <w:rFonts w:ascii="Garamond" w:hAnsi="Garamond"/>
        </w:rPr>
      </w:pPr>
      <w:r w:rsidRPr="00344078">
        <w:rPr>
          <w:rFonts w:ascii="Garamond" w:hAnsi="Garamond"/>
          <w:b w:val="0"/>
          <w:bCs/>
          <w:sz w:val="22"/>
          <w:szCs w:val="22"/>
        </w:rPr>
        <w:t>1.</w:t>
      </w:r>
      <w:r w:rsidRPr="00344078">
        <w:rPr>
          <w:rFonts w:ascii="Garamond" w:hAnsi="Garamond"/>
          <w:sz w:val="22"/>
          <w:szCs w:val="22"/>
        </w:rPr>
        <w:t xml:space="preserve"> </w:t>
      </w:r>
      <w:r w:rsidRPr="00344078">
        <w:rPr>
          <w:rStyle w:val="Textoennegrita"/>
          <w:rFonts w:ascii="Garamond" w:hAnsi="Garamond"/>
          <w:sz w:val="22"/>
          <w:szCs w:val="22"/>
        </w:rPr>
        <w:t>Entrega</w:t>
      </w:r>
      <w:r w:rsidRPr="00102AA0">
        <w:rPr>
          <w:rStyle w:val="Textoennegrita"/>
          <w:rFonts w:ascii="Garamond" w:hAnsi="Garamond"/>
        </w:rPr>
        <w:t xml:space="preserve"> oportuna y conforme a cronograma</w:t>
      </w:r>
    </w:p>
    <w:p w14:paraId="50C7266F" w14:textId="77777777" w:rsidR="004051D4" w:rsidRPr="00102AA0" w:rsidRDefault="004051D4" w:rsidP="00776AF2">
      <w:pPr>
        <w:pStyle w:val="NormalWeb"/>
        <w:numPr>
          <w:ilvl w:val="0"/>
          <w:numId w:val="24"/>
        </w:numPr>
        <w:spacing w:before="0" w:beforeAutospacing="0" w:after="0" w:afterAutospacing="0"/>
        <w:jc w:val="both"/>
        <w:rPr>
          <w:rFonts w:ascii="Garamond" w:hAnsi="Garamond"/>
        </w:rPr>
      </w:pPr>
      <w:r w:rsidRPr="00102AA0">
        <w:rPr>
          <w:rFonts w:ascii="Garamond" w:hAnsi="Garamond"/>
        </w:rPr>
        <w:t>El contratista deberá entregar los bienes en los plazos y fechas definidas por el cronograma aprobado por la entidad.</w:t>
      </w:r>
    </w:p>
    <w:p w14:paraId="25705E57" w14:textId="3E6484C5" w:rsidR="004051D4" w:rsidRDefault="004051D4" w:rsidP="00776AF2">
      <w:pPr>
        <w:pStyle w:val="NormalWeb"/>
        <w:numPr>
          <w:ilvl w:val="0"/>
          <w:numId w:val="24"/>
        </w:numPr>
        <w:spacing w:before="0" w:beforeAutospacing="0" w:after="0" w:afterAutospacing="0"/>
        <w:jc w:val="both"/>
        <w:rPr>
          <w:rFonts w:ascii="Garamond" w:hAnsi="Garamond"/>
        </w:rPr>
      </w:pPr>
      <w:r w:rsidRPr="00102AA0">
        <w:rPr>
          <w:rFonts w:ascii="Garamond" w:hAnsi="Garamond"/>
        </w:rPr>
        <w:t>Las entregas podrán ser parciales o totales, dependiendo de la planeación y cobertura.</w:t>
      </w:r>
    </w:p>
    <w:p w14:paraId="314657FA" w14:textId="77777777" w:rsidR="004A3457" w:rsidRPr="004A3457" w:rsidRDefault="004A3457" w:rsidP="00776AF2">
      <w:pPr>
        <w:pStyle w:val="NormalWeb"/>
        <w:spacing w:before="0" w:beforeAutospacing="0" w:after="0" w:afterAutospacing="0"/>
        <w:ind w:left="720"/>
        <w:jc w:val="both"/>
        <w:rPr>
          <w:rFonts w:ascii="Garamond" w:hAnsi="Garamond"/>
        </w:rPr>
      </w:pPr>
    </w:p>
    <w:p w14:paraId="62E0064C" w14:textId="77777777" w:rsidR="004051D4" w:rsidRPr="00102AA0" w:rsidRDefault="004051D4" w:rsidP="00776AF2">
      <w:pPr>
        <w:pStyle w:val="Ttulo4"/>
        <w:spacing w:before="0" w:after="0"/>
        <w:jc w:val="both"/>
        <w:rPr>
          <w:rFonts w:ascii="Garamond" w:hAnsi="Garamond"/>
        </w:rPr>
      </w:pPr>
      <w:r w:rsidRPr="001642F5">
        <w:rPr>
          <w:rFonts w:ascii="Garamond" w:hAnsi="Garamond"/>
          <w:b w:val="0"/>
          <w:bCs/>
        </w:rPr>
        <w:t>2.</w:t>
      </w:r>
      <w:r w:rsidRPr="00102AA0">
        <w:rPr>
          <w:rFonts w:ascii="Garamond" w:hAnsi="Garamond"/>
        </w:rPr>
        <w:t xml:space="preserve"> </w:t>
      </w:r>
      <w:r w:rsidRPr="00102AA0">
        <w:rPr>
          <w:rStyle w:val="Textoennegrita"/>
          <w:rFonts w:ascii="Garamond" w:hAnsi="Garamond"/>
        </w:rPr>
        <w:t>Cumplimiento de especificaciones técnicas</w:t>
      </w:r>
    </w:p>
    <w:p w14:paraId="475E8885" w14:textId="77777777" w:rsidR="004051D4" w:rsidRPr="00102AA0" w:rsidRDefault="004051D4" w:rsidP="00776AF2">
      <w:pPr>
        <w:pStyle w:val="NormalWeb"/>
        <w:numPr>
          <w:ilvl w:val="0"/>
          <w:numId w:val="25"/>
        </w:numPr>
        <w:spacing w:before="0" w:beforeAutospacing="0" w:after="0" w:afterAutospacing="0"/>
        <w:jc w:val="both"/>
        <w:rPr>
          <w:rFonts w:ascii="Garamond" w:hAnsi="Garamond"/>
        </w:rPr>
      </w:pPr>
      <w:r w:rsidRPr="00102AA0">
        <w:rPr>
          <w:rFonts w:ascii="Garamond" w:hAnsi="Garamond"/>
        </w:rPr>
        <w:t>Todos los bienes entregados deberán cumplir con las características técnicas y funcionales exigidas en los pliegos o ficha técnica.</w:t>
      </w:r>
    </w:p>
    <w:p w14:paraId="20D04EBF" w14:textId="7FEFEA3E" w:rsidR="004051D4" w:rsidRDefault="004051D4" w:rsidP="00776AF2">
      <w:pPr>
        <w:pStyle w:val="NormalWeb"/>
        <w:numPr>
          <w:ilvl w:val="0"/>
          <w:numId w:val="25"/>
        </w:numPr>
        <w:spacing w:before="0" w:beforeAutospacing="0" w:after="0" w:afterAutospacing="0"/>
        <w:jc w:val="both"/>
        <w:rPr>
          <w:rFonts w:ascii="Garamond" w:hAnsi="Garamond"/>
        </w:rPr>
      </w:pPr>
      <w:r w:rsidRPr="00102AA0">
        <w:rPr>
          <w:rFonts w:ascii="Garamond" w:hAnsi="Garamond"/>
        </w:rPr>
        <w:t>Se deben incluir manuales de uso, certificados de garantía, fichas técnicas y/o declaraciones de conformidad del fabricante.</w:t>
      </w:r>
    </w:p>
    <w:p w14:paraId="31FA54D2" w14:textId="77777777" w:rsidR="00256BB0" w:rsidRPr="00256BB0" w:rsidRDefault="00256BB0" w:rsidP="00776AF2">
      <w:pPr>
        <w:pStyle w:val="NormalWeb"/>
        <w:spacing w:before="0" w:beforeAutospacing="0" w:after="0" w:afterAutospacing="0"/>
        <w:ind w:left="720"/>
        <w:jc w:val="both"/>
        <w:rPr>
          <w:rFonts w:ascii="Garamond" w:hAnsi="Garamond"/>
        </w:rPr>
      </w:pPr>
    </w:p>
    <w:p w14:paraId="7269BB84" w14:textId="77777777" w:rsidR="004051D4" w:rsidRPr="00102AA0" w:rsidRDefault="004051D4" w:rsidP="00776AF2">
      <w:pPr>
        <w:pStyle w:val="Ttulo4"/>
        <w:spacing w:before="0" w:after="0"/>
        <w:jc w:val="both"/>
        <w:rPr>
          <w:rFonts w:ascii="Garamond" w:hAnsi="Garamond"/>
        </w:rPr>
      </w:pPr>
      <w:r w:rsidRPr="001642F5">
        <w:rPr>
          <w:rFonts w:ascii="Garamond" w:hAnsi="Garamond"/>
          <w:b w:val="0"/>
          <w:bCs/>
        </w:rPr>
        <w:t>3.</w:t>
      </w:r>
      <w:r w:rsidRPr="00102AA0">
        <w:rPr>
          <w:rFonts w:ascii="Garamond" w:hAnsi="Garamond"/>
        </w:rPr>
        <w:t xml:space="preserve"> </w:t>
      </w:r>
      <w:r w:rsidRPr="00102AA0">
        <w:rPr>
          <w:rStyle w:val="Textoennegrita"/>
          <w:rFonts w:ascii="Garamond" w:hAnsi="Garamond"/>
        </w:rPr>
        <w:t>Transporte y embalaje adecuado</w:t>
      </w:r>
    </w:p>
    <w:p w14:paraId="5D4BB7C1" w14:textId="77777777" w:rsidR="004051D4" w:rsidRPr="00102AA0" w:rsidRDefault="004051D4" w:rsidP="00776AF2">
      <w:pPr>
        <w:pStyle w:val="NormalWeb"/>
        <w:numPr>
          <w:ilvl w:val="0"/>
          <w:numId w:val="26"/>
        </w:numPr>
        <w:spacing w:before="0" w:beforeAutospacing="0" w:after="0" w:afterAutospacing="0"/>
        <w:jc w:val="both"/>
        <w:rPr>
          <w:rFonts w:ascii="Garamond" w:hAnsi="Garamond"/>
        </w:rPr>
      </w:pPr>
      <w:r w:rsidRPr="00102AA0">
        <w:rPr>
          <w:rFonts w:ascii="Garamond" w:hAnsi="Garamond"/>
        </w:rPr>
        <w:t>El contratista es responsable del transporte seguro de los bienes hasta los lugares de entrega designados, con embalaje adecuado que garantice su integridad.</w:t>
      </w:r>
    </w:p>
    <w:p w14:paraId="5D8E1246" w14:textId="67BC502F" w:rsidR="004051D4" w:rsidRDefault="004051D4" w:rsidP="00776AF2">
      <w:pPr>
        <w:pStyle w:val="NormalWeb"/>
        <w:numPr>
          <w:ilvl w:val="0"/>
          <w:numId w:val="26"/>
        </w:numPr>
        <w:spacing w:before="0" w:beforeAutospacing="0" w:after="0" w:afterAutospacing="0"/>
        <w:jc w:val="both"/>
        <w:rPr>
          <w:rFonts w:ascii="Garamond" w:hAnsi="Garamond"/>
        </w:rPr>
      </w:pPr>
      <w:r w:rsidRPr="00102AA0">
        <w:rPr>
          <w:rFonts w:ascii="Garamond" w:hAnsi="Garamond"/>
        </w:rPr>
        <w:t>En caso de entrega en zonas rurales o de difícil acceso, deberá garantizar medios logísticos apropiados.</w:t>
      </w:r>
    </w:p>
    <w:p w14:paraId="3E5D17AE" w14:textId="77777777" w:rsidR="004A3457" w:rsidRPr="004A3457" w:rsidRDefault="004A3457" w:rsidP="00776AF2">
      <w:pPr>
        <w:pStyle w:val="NormalWeb"/>
        <w:spacing w:before="0" w:beforeAutospacing="0" w:after="0" w:afterAutospacing="0"/>
        <w:ind w:left="720"/>
        <w:jc w:val="both"/>
        <w:rPr>
          <w:rFonts w:ascii="Garamond" w:hAnsi="Garamond"/>
        </w:rPr>
      </w:pPr>
    </w:p>
    <w:p w14:paraId="2E5FFAE5" w14:textId="77777777" w:rsidR="004051D4" w:rsidRPr="00102AA0" w:rsidRDefault="004051D4" w:rsidP="00776AF2">
      <w:pPr>
        <w:pStyle w:val="Ttulo4"/>
        <w:spacing w:before="0" w:after="0"/>
        <w:jc w:val="both"/>
        <w:rPr>
          <w:rFonts w:ascii="Garamond" w:hAnsi="Garamond"/>
        </w:rPr>
      </w:pPr>
      <w:r w:rsidRPr="001642F5">
        <w:rPr>
          <w:rFonts w:ascii="Garamond" w:hAnsi="Garamond"/>
          <w:b w:val="0"/>
          <w:bCs/>
        </w:rPr>
        <w:t>4.</w:t>
      </w:r>
      <w:r w:rsidRPr="00102AA0">
        <w:rPr>
          <w:rFonts w:ascii="Garamond" w:hAnsi="Garamond"/>
        </w:rPr>
        <w:t xml:space="preserve"> </w:t>
      </w:r>
      <w:r w:rsidRPr="00102AA0">
        <w:rPr>
          <w:rStyle w:val="Textoennegrita"/>
          <w:rFonts w:ascii="Garamond" w:hAnsi="Garamond"/>
        </w:rPr>
        <w:t>Entrega en el lugar establecido</w:t>
      </w:r>
    </w:p>
    <w:p w14:paraId="45F8D3A8" w14:textId="10D730C3" w:rsidR="004051D4" w:rsidRDefault="004051D4" w:rsidP="00776AF2">
      <w:pPr>
        <w:pStyle w:val="NormalWeb"/>
        <w:numPr>
          <w:ilvl w:val="0"/>
          <w:numId w:val="27"/>
        </w:numPr>
        <w:spacing w:before="0" w:beforeAutospacing="0" w:after="0" w:afterAutospacing="0"/>
        <w:jc w:val="both"/>
        <w:rPr>
          <w:rFonts w:ascii="Garamond" w:hAnsi="Garamond"/>
        </w:rPr>
      </w:pPr>
      <w:r w:rsidRPr="00102AA0">
        <w:rPr>
          <w:rFonts w:ascii="Garamond" w:hAnsi="Garamond"/>
        </w:rPr>
        <w:t>Las entregas deben realizarse en la sede o lugar designado por la entidad para cada Junta de Acción Comunal beneficiaria, con acta de recibido.</w:t>
      </w:r>
    </w:p>
    <w:p w14:paraId="2A7657BF" w14:textId="77777777" w:rsidR="004A3457" w:rsidRPr="004A3457" w:rsidRDefault="004A3457" w:rsidP="00776AF2">
      <w:pPr>
        <w:pStyle w:val="NormalWeb"/>
        <w:spacing w:before="0" w:beforeAutospacing="0" w:after="0" w:afterAutospacing="0"/>
        <w:ind w:left="720"/>
        <w:jc w:val="both"/>
        <w:rPr>
          <w:rFonts w:ascii="Garamond" w:hAnsi="Garamond"/>
        </w:rPr>
      </w:pPr>
    </w:p>
    <w:p w14:paraId="75DCAF4A" w14:textId="77777777" w:rsidR="004051D4" w:rsidRPr="00102AA0" w:rsidRDefault="004051D4" w:rsidP="00776AF2">
      <w:pPr>
        <w:pStyle w:val="Ttulo4"/>
        <w:spacing w:before="0" w:after="0"/>
        <w:jc w:val="both"/>
        <w:rPr>
          <w:rFonts w:ascii="Garamond" w:hAnsi="Garamond"/>
        </w:rPr>
      </w:pPr>
      <w:r w:rsidRPr="001642F5">
        <w:rPr>
          <w:rFonts w:ascii="Garamond" w:hAnsi="Garamond"/>
          <w:b w:val="0"/>
          <w:bCs/>
        </w:rPr>
        <w:t>5.</w:t>
      </w:r>
      <w:r w:rsidRPr="00102AA0">
        <w:rPr>
          <w:rFonts w:ascii="Garamond" w:hAnsi="Garamond"/>
        </w:rPr>
        <w:t xml:space="preserve"> </w:t>
      </w:r>
      <w:r w:rsidRPr="00102AA0">
        <w:rPr>
          <w:rStyle w:val="Textoennegrita"/>
          <w:rFonts w:ascii="Garamond" w:hAnsi="Garamond"/>
        </w:rPr>
        <w:t>Socialización y capacitación básica</w:t>
      </w:r>
    </w:p>
    <w:p w14:paraId="10118FF7" w14:textId="1AE68ABE" w:rsidR="004051D4" w:rsidRDefault="004051D4" w:rsidP="00776AF2">
      <w:pPr>
        <w:pStyle w:val="NormalWeb"/>
        <w:numPr>
          <w:ilvl w:val="0"/>
          <w:numId w:val="28"/>
        </w:numPr>
        <w:spacing w:before="0" w:beforeAutospacing="0" w:after="0" w:afterAutospacing="0"/>
        <w:jc w:val="both"/>
        <w:rPr>
          <w:rFonts w:ascii="Garamond" w:hAnsi="Garamond"/>
        </w:rPr>
      </w:pPr>
      <w:r w:rsidRPr="00102AA0">
        <w:rPr>
          <w:rFonts w:ascii="Garamond" w:hAnsi="Garamond"/>
        </w:rPr>
        <w:t>Si se incluyen equipos tecnológicos o mobiliario especializado, el contratista deberá realizar una jornada de inducción sobre uso, cuidados y mantenimiento básico.</w:t>
      </w:r>
    </w:p>
    <w:p w14:paraId="196569B3" w14:textId="77777777" w:rsidR="004A3457" w:rsidRPr="004A3457" w:rsidRDefault="004A3457" w:rsidP="00776AF2">
      <w:pPr>
        <w:pStyle w:val="NormalWeb"/>
        <w:spacing w:before="0" w:beforeAutospacing="0" w:after="0" w:afterAutospacing="0"/>
        <w:ind w:left="720"/>
        <w:jc w:val="both"/>
        <w:rPr>
          <w:rFonts w:ascii="Garamond" w:hAnsi="Garamond"/>
        </w:rPr>
      </w:pPr>
    </w:p>
    <w:p w14:paraId="0CCCACAF" w14:textId="77777777" w:rsidR="004051D4" w:rsidRPr="00102AA0" w:rsidRDefault="004051D4" w:rsidP="00776AF2">
      <w:pPr>
        <w:pStyle w:val="Ttulo4"/>
        <w:spacing w:before="0" w:after="0"/>
        <w:jc w:val="both"/>
        <w:rPr>
          <w:rFonts w:ascii="Garamond" w:hAnsi="Garamond"/>
        </w:rPr>
      </w:pPr>
      <w:r w:rsidRPr="001642F5">
        <w:rPr>
          <w:rFonts w:ascii="Garamond" w:hAnsi="Garamond"/>
          <w:b w:val="0"/>
          <w:bCs/>
        </w:rPr>
        <w:t>6.</w:t>
      </w:r>
      <w:r w:rsidRPr="00102AA0">
        <w:rPr>
          <w:rFonts w:ascii="Garamond" w:hAnsi="Garamond"/>
        </w:rPr>
        <w:t xml:space="preserve"> </w:t>
      </w:r>
      <w:r w:rsidRPr="00102AA0">
        <w:rPr>
          <w:rStyle w:val="Textoennegrita"/>
          <w:rFonts w:ascii="Garamond" w:hAnsi="Garamond"/>
        </w:rPr>
        <w:t>Garantía de calidad y funcionamiento</w:t>
      </w:r>
    </w:p>
    <w:p w14:paraId="39CDF7E1" w14:textId="49C89A43" w:rsidR="004051D4" w:rsidRDefault="004051D4" w:rsidP="00776AF2">
      <w:pPr>
        <w:pStyle w:val="NormalWeb"/>
        <w:numPr>
          <w:ilvl w:val="0"/>
          <w:numId w:val="29"/>
        </w:numPr>
        <w:spacing w:before="0" w:beforeAutospacing="0" w:after="0" w:afterAutospacing="0"/>
        <w:jc w:val="both"/>
        <w:rPr>
          <w:rFonts w:ascii="Garamond" w:hAnsi="Garamond"/>
        </w:rPr>
      </w:pPr>
      <w:r w:rsidRPr="00102AA0">
        <w:rPr>
          <w:rFonts w:ascii="Garamond" w:hAnsi="Garamond"/>
        </w:rPr>
        <w:t>Los bienes entregados deben contar con garantía mínima de funcionamiento (por ejemplo, 12 meses), y el contratista debe asumir la reparación o reemplazo en caso de fallas atribuibles a defectos de fábrica o entrega.</w:t>
      </w:r>
    </w:p>
    <w:p w14:paraId="2FD2EA90" w14:textId="77777777" w:rsidR="004A3457" w:rsidRPr="004A3457" w:rsidRDefault="004A3457" w:rsidP="00776AF2">
      <w:pPr>
        <w:pStyle w:val="NormalWeb"/>
        <w:spacing w:before="0" w:beforeAutospacing="0" w:after="0" w:afterAutospacing="0"/>
        <w:ind w:left="720"/>
        <w:jc w:val="both"/>
        <w:rPr>
          <w:rFonts w:ascii="Garamond" w:hAnsi="Garamond"/>
        </w:rPr>
      </w:pPr>
    </w:p>
    <w:p w14:paraId="2DAB4D54" w14:textId="77777777" w:rsidR="004051D4" w:rsidRPr="00102AA0" w:rsidRDefault="004051D4" w:rsidP="00776AF2">
      <w:pPr>
        <w:pStyle w:val="Ttulo4"/>
        <w:spacing w:before="0" w:after="0"/>
        <w:jc w:val="both"/>
        <w:rPr>
          <w:rFonts w:ascii="Garamond" w:hAnsi="Garamond"/>
        </w:rPr>
      </w:pPr>
      <w:r w:rsidRPr="001642F5">
        <w:rPr>
          <w:rFonts w:ascii="Garamond" w:hAnsi="Garamond"/>
          <w:b w:val="0"/>
          <w:bCs/>
        </w:rPr>
        <w:t>7.</w:t>
      </w:r>
      <w:r w:rsidRPr="00102AA0">
        <w:rPr>
          <w:rFonts w:ascii="Garamond" w:hAnsi="Garamond"/>
        </w:rPr>
        <w:t xml:space="preserve"> </w:t>
      </w:r>
      <w:r w:rsidRPr="00102AA0">
        <w:rPr>
          <w:rStyle w:val="Textoennegrita"/>
          <w:rFonts w:ascii="Garamond" w:hAnsi="Garamond"/>
        </w:rPr>
        <w:t>Soporte documental</w:t>
      </w:r>
    </w:p>
    <w:p w14:paraId="7E0913FB" w14:textId="0BFBAC44" w:rsidR="004051D4" w:rsidRDefault="004051D4" w:rsidP="00776AF2">
      <w:pPr>
        <w:pStyle w:val="NormalWeb"/>
        <w:numPr>
          <w:ilvl w:val="0"/>
          <w:numId w:val="30"/>
        </w:numPr>
        <w:spacing w:before="0" w:beforeAutospacing="0" w:after="0" w:afterAutospacing="0"/>
        <w:jc w:val="both"/>
        <w:rPr>
          <w:rFonts w:ascii="Garamond" w:hAnsi="Garamond"/>
        </w:rPr>
      </w:pPr>
      <w:r w:rsidRPr="00102AA0">
        <w:rPr>
          <w:rFonts w:ascii="Garamond" w:hAnsi="Garamond"/>
        </w:rPr>
        <w:t>El contratista deberá entregar informes de cumplimiento, actas de entrega, inventario físico, fotografías, lista de asistencia (si aplica) y cualquier otro documento exigido por la supervisión o interventoría.</w:t>
      </w:r>
    </w:p>
    <w:p w14:paraId="510C705D" w14:textId="77777777" w:rsidR="004A3457" w:rsidRPr="004A3457" w:rsidRDefault="004A3457" w:rsidP="00776AF2">
      <w:pPr>
        <w:pStyle w:val="NormalWeb"/>
        <w:spacing w:before="0" w:beforeAutospacing="0" w:after="0" w:afterAutospacing="0"/>
        <w:ind w:left="720"/>
        <w:jc w:val="both"/>
        <w:rPr>
          <w:rFonts w:ascii="Garamond" w:hAnsi="Garamond"/>
        </w:rPr>
      </w:pPr>
    </w:p>
    <w:p w14:paraId="3D507C85" w14:textId="77777777" w:rsidR="004051D4" w:rsidRPr="00102AA0" w:rsidRDefault="004051D4" w:rsidP="00776AF2">
      <w:pPr>
        <w:pStyle w:val="Ttulo4"/>
        <w:spacing w:before="0" w:after="0"/>
        <w:jc w:val="both"/>
        <w:rPr>
          <w:rFonts w:ascii="Garamond" w:hAnsi="Garamond"/>
        </w:rPr>
      </w:pPr>
      <w:r w:rsidRPr="001642F5">
        <w:rPr>
          <w:rFonts w:ascii="Garamond" w:hAnsi="Garamond"/>
          <w:b w:val="0"/>
          <w:bCs/>
        </w:rPr>
        <w:t>8.</w:t>
      </w:r>
      <w:r w:rsidRPr="00102AA0">
        <w:rPr>
          <w:rFonts w:ascii="Garamond" w:hAnsi="Garamond"/>
        </w:rPr>
        <w:t xml:space="preserve"> </w:t>
      </w:r>
      <w:r w:rsidRPr="00102AA0">
        <w:rPr>
          <w:rStyle w:val="Textoennegrita"/>
          <w:rFonts w:ascii="Garamond" w:hAnsi="Garamond"/>
        </w:rPr>
        <w:t>Sostenibilidad y pertinencia</w:t>
      </w:r>
    </w:p>
    <w:p w14:paraId="65CAE6D3" w14:textId="1BDC2A92" w:rsidR="004051D4" w:rsidRDefault="004051D4" w:rsidP="00776AF2">
      <w:pPr>
        <w:pStyle w:val="NormalWeb"/>
        <w:numPr>
          <w:ilvl w:val="0"/>
          <w:numId w:val="31"/>
        </w:numPr>
        <w:spacing w:before="0" w:beforeAutospacing="0" w:after="0" w:afterAutospacing="0"/>
        <w:jc w:val="both"/>
        <w:rPr>
          <w:rFonts w:ascii="Garamond" w:hAnsi="Garamond"/>
        </w:rPr>
      </w:pPr>
      <w:r w:rsidRPr="00102AA0">
        <w:rPr>
          <w:rFonts w:ascii="Garamond" w:hAnsi="Garamond"/>
        </w:rPr>
        <w:t>Los bienes deben ser pertinentes para el contexto comunitario y facilitar su sostenibilidad en el tiempo, evitando elementos que generen altos costos de mantenimiento o poco uso.</w:t>
      </w:r>
    </w:p>
    <w:p w14:paraId="6859F5AF" w14:textId="77777777" w:rsidR="004A3457" w:rsidRPr="004A3457" w:rsidRDefault="004A3457" w:rsidP="00776AF2">
      <w:pPr>
        <w:pStyle w:val="NormalWeb"/>
        <w:spacing w:before="0" w:beforeAutospacing="0" w:after="0" w:afterAutospacing="0"/>
        <w:ind w:left="720"/>
        <w:jc w:val="both"/>
        <w:rPr>
          <w:rFonts w:ascii="Garamond" w:hAnsi="Garamond"/>
        </w:rPr>
      </w:pPr>
    </w:p>
    <w:p w14:paraId="34061807" w14:textId="77777777" w:rsidR="004051D4" w:rsidRPr="00102AA0" w:rsidRDefault="004051D4" w:rsidP="00776AF2">
      <w:pPr>
        <w:pStyle w:val="Ttulo4"/>
        <w:spacing w:before="0" w:after="0"/>
        <w:jc w:val="both"/>
        <w:rPr>
          <w:rFonts w:ascii="Garamond" w:hAnsi="Garamond"/>
        </w:rPr>
      </w:pPr>
      <w:r w:rsidRPr="001642F5">
        <w:rPr>
          <w:rFonts w:ascii="Garamond" w:hAnsi="Garamond"/>
          <w:b w:val="0"/>
          <w:bCs/>
        </w:rPr>
        <w:t>9.</w:t>
      </w:r>
      <w:r w:rsidRPr="00102AA0">
        <w:rPr>
          <w:rFonts w:ascii="Garamond" w:hAnsi="Garamond"/>
        </w:rPr>
        <w:t xml:space="preserve"> </w:t>
      </w:r>
      <w:r w:rsidRPr="00102AA0">
        <w:rPr>
          <w:rStyle w:val="Textoennegrita"/>
          <w:rFonts w:ascii="Garamond" w:hAnsi="Garamond"/>
        </w:rPr>
        <w:t>Responsabilidad social y enfoque diferencial</w:t>
      </w:r>
    </w:p>
    <w:p w14:paraId="68D4832E" w14:textId="5E3321D3" w:rsidR="004051D4" w:rsidRDefault="004051D4" w:rsidP="00776AF2">
      <w:pPr>
        <w:pStyle w:val="NormalWeb"/>
        <w:numPr>
          <w:ilvl w:val="0"/>
          <w:numId w:val="32"/>
        </w:numPr>
        <w:spacing w:before="0" w:beforeAutospacing="0" w:after="0" w:afterAutospacing="0"/>
        <w:jc w:val="both"/>
        <w:rPr>
          <w:rFonts w:ascii="Garamond" w:hAnsi="Garamond"/>
        </w:rPr>
      </w:pPr>
      <w:r w:rsidRPr="00102AA0">
        <w:rPr>
          <w:rFonts w:ascii="Garamond" w:hAnsi="Garamond"/>
        </w:rPr>
        <w:t>El contratista debe garantizar que la entrega y uso de los bienes promueva la inclusión, participación equitativa y no discriminación en las JAC beneficiadas.</w:t>
      </w:r>
    </w:p>
    <w:p w14:paraId="6AA58107" w14:textId="77777777" w:rsidR="004A3457" w:rsidRPr="00102AA0" w:rsidRDefault="004A3457" w:rsidP="00776AF2">
      <w:pPr>
        <w:pStyle w:val="NormalWeb"/>
        <w:spacing w:before="0" w:beforeAutospacing="0" w:after="0" w:afterAutospacing="0"/>
        <w:ind w:left="720"/>
        <w:jc w:val="both"/>
        <w:rPr>
          <w:rFonts w:ascii="Garamond" w:hAnsi="Garamond"/>
        </w:rPr>
      </w:pPr>
    </w:p>
    <w:p w14:paraId="3BB97638" w14:textId="77777777" w:rsidR="004051D4" w:rsidRPr="00102AA0" w:rsidRDefault="004051D4" w:rsidP="00776AF2">
      <w:pPr>
        <w:pStyle w:val="Ttulo4"/>
        <w:spacing w:before="0" w:after="0"/>
        <w:jc w:val="both"/>
        <w:rPr>
          <w:rFonts w:ascii="Garamond" w:hAnsi="Garamond"/>
        </w:rPr>
      </w:pPr>
      <w:r w:rsidRPr="001642F5">
        <w:rPr>
          <w:rFonts w:ascii="Garamond" w:hAnsi="Garamond"/>
          <w:b w:val="0"/>
          <w:bCs/>
        </w:rPr>
        <w:t>10.</w:t>
      </w:r>
      <w:r w:rsidRPr="00102AA0">
        <w:rPr>
          <w:rFonts w:ascii="Garamond" w:hAnsi="Garamond"/>
        </w:rPr>
        <w:t xml:space="preserve"> </w:t>
      </w:r>
      <w:r w:rsidRPr="00102AA0">
        <w:rPr>
          <w:rStyle w:val="Textoennegrita"/>
          <w:rFonts w:ascii="Garamond" w:hAnsi="Garamond"/>
        </w:rPr>
        <w:t>Supervisión técnica y administrativa</w:t>
      </w:r>
    </w:p>
    <w:p w14:paraId="73A129E8" w14:textId="1C6C799A" w:rsidR="004051D4" w:rsidRPr="00776AF2" w:rsidRDefault="004051D4" w:rsidP="00776AF2">
      <w:pPr>
        <w:pStyle w:val="NormalWeb"/>
        <w:numPr>
          <w:ilvl w:val="0"/>
          <w:numId w:val="33"/>
        </w:numPr>
        <w:spacing w:before="0" w:beforeAutospacing="0" w:after="0" w:afterAutospacing="0"/>
        <w:jc w:val="both"/>
        <w:rPr>
          <w:rFonts w:ascii="Garamond" w:hAnsi="Garamond"/>
        </w:rPr>
      </w:pPr>
      <w:r w:rsidRPr="00102AA0">
        <w:rPr>
          <w:rFonts w:ascii="Garamond" w:hAnsi="Garamond"/>
        </w:rPr>
        <w:t>La ejecución estará sujeta al seguimiento de la entidad contratante, quien verificará el cumplimiento de cada obligación mediante la supervisión o interventoría asignada.</w:t>
      </w:r>
    </w:p>
    <w:p w14:paraId="08D1A7C4" w14:textId="77777777" w:rsidR="004051D4" w:rsidRPr="00BF757C" w:rsidRDefault="004051D4" w:rsidP="004051D4">
      <w:pPr>
        <w:pStyle w:val="Ttulo2"/>
        <w:tabs>
          <w:tab w:val="left" w:pos="979"/>
        </w:tabs>
        <w:ind w:hanging="979"/>
        <w:rPr>
          <w:rFonts w:ascii="Garamond" w:eastAsia="Garamond" w:hAnsi="Garamond" w:cs="Garamond"/>
        </w:rPr>
      </w:pPr>
    </w:p>
    <w:p w14:paraId="6E1DAEB1" w14:textId="77777777" w:rsidR="004051D4" w:rsidRPr="00E14BF7" w:rsidRDefault="004051D4" w:rsidP="004A3457">
      <w:pPr>
        <w:pStyle w:val="Ttulo2"/>
        <w:tabs>
          <w:tab w:val="left" w:pos="979"/>
        </w:tabs>
        <w:rPr>
          <w:rFonts w:ascii="Garamond" w:eastAsia="Garamond" w:hAnsi="Garamond" w:cs="Garamond"/>
          <w:b/>
          <w:bCs/>
          <w:color w:val="auto"/>
          <w:sz w:val="24"/>
          <w:szCs w:val="24"/>
        </w:rPr>
      </w:pPr>
      <w:r w:rsidRPr="00E14BF7">
        <w:rPr>
          <w:rFonts w:ascii="Garamond" w:eastAsia="Garamond" w:hAnsi="Garamond" w:cs="Garamond"/>
          <w:b/>
          <w:bCs/>
          <w:color w:val="auto"/>
          <w:sz w:val="24"/>
          <w:szCs w:val="24"/>
        </w:rPr>
        <w:t>ANÁLISIS DE LA DEMANDA – COMPORTAMIENTO DEL GASTO HISTÓRICO</w:t>
      </w:r>
    </w:p>
    <w:p w14:paraId="03C3A7C1" w14:textId="77777777" w:rsidR="004051D4" w:rsidRDefault="004051D4" w:rsidP="004051D4">
      <w:pPr>
        <w:pStyle w:val="Ttulo2"/>
        <w:tabs>
          <w:tab w:val="left" w:pos="979"/>
        </w:tabs>
        <w:ind w:hanging="979"/>
        <w:rPr>
          <w:rFonts w:ascii="Garamond" w:eastAsia="Garamond" w:hAnsi="Garamond" w:cs="Garamond"/>
        </w:rPr>
      </w:pPr>
    </w:p>
    <w:p w14:paraId="04073683" w14:textId="77777777" w:rsidR="004051D4" w:rsidRDefault="004051D4" w:rsidP="004051D4">
      <w:pPr>
        <w:ind w:right="49"/>
        <w:jc w:val="both"/>
        <w:rPr>
          <w:rFonts w:ascii="Garamond" w:eastAsia="Garamond" w:hAnsi="Garamond" w:cs="Garamond"/>
        </w:rPr>
      </w:pPr>
      <w:r>
        <w:rPr>
          <w:rFonts w:ascii="Garamond" w:eastAsia="Garamond" w:hAnsi="Garamond" w:cs="Garamond"/>
        </w:rPr>
        <w:t>Es importante conocer la demanda histórica, con el fin de estimar los valores asociados a los servicios contratados a los procesos de contratación del mismo sector similares en su objeto, cuantía y tipo de contrato.</w:t>
      </w:r>
    </w:p>
    <w:p w14:paraId="0991BDBD" w14:textId="15487249" w:rsidR="004051D4" w:rsidRDefault="004051D4" w:rsidP="004051D4">
      <w:pPr>
        <w:ind w:right="49"/>
        <w:jc w:val="both"/>
        <w:rPr>
          <w:rFonts w:ascii="Garamond" w:eastAsia="Garamond" w:hAnsi="Garamond" w:cs="Garamond"/>
        </w:rPr>
      </w:pPr>
    </w:p>
    <w:p w14:paraId="17551424" w14:textId="77777777" w:rsidR="00E14BF7" w:rsidRPr="00BF757C" w:rsidRDefault="00E14BF7" w:rsidP="004051D4">
      <w:pPr>
        <w:ind w:right="49"/>
        <w:jc w:val="both"/>
        <w:rPr>
          <w:rFonts w:ascii="Garamond" w:eastAsia="Garamond" w:hAnsi="Garamond" w:cs="Garamond"/>
        </w:rPr>
      </w:pPr>
    </w:p>
    <w:p w14:paraId="3728B235" w14:textId="77777777" w:rsidR="004051D4" w:rsidRPr="004A3457" w:rsidRDefault="004051D4" w:rsidP="004051D4">
      <w:pPr>
        <w:pStyle w:val="Ttulo3"/>
        <w:tabs>
          <w:tab w:val="left" w:pos="1339"/>
        </w:tabs>
        <w:jc w:val="both"/>
        <w:rPr>
          <w:rFonts w:ascii="Garamond" w:eastAsia="Garamond" w:hAnsi="Garamond" w:cs="Garamond"/>
          <w:color w:val="auto"/>
        </w:rPr>
      </w:pPr>
      <w:r w:rsidRPr="004A3457">
        <w:rPr>
          <w:rFonts w:ascii="Garamond" w:eastAsia="Garamond" w:hAnsi="Garamond" w:cs="Garamond"/>
          <w:color w:val="auto"/>
        </w:rPr>
        <w:t>9.1. Adquisiciones previas de la entidad</w:t>
      </w:r>
    </w:p>
    <w:p w14:paraId="3176DBDF" w14:textId="77777777" w:rsidR="004051D4" w:rsidRPr="000F7BC2" w:rsidRDefault="004051D4" w:rsidP="004051D4">
      <w:pPr>
        <w:rPr>
          <w:rFonts w:eastAsia="Garamond"/>
        </w:rPr>
      </w:pPr>
    </w:p>
    <w:p w14:paraId="349A58FF" w14:textId="625671B9" w:rsidR="004051D4" w:rsidRDefault="004051D4" w:rsidP="004A3457">
      <w:pPr>
        <w:pBdr>
          <w:top w:val="nil"/>
          <w:left w:val="nil"/>
          <w:bottom w:val="nil"/>
          <w:right w:val="nil"/>
          <w:between w:val="nil"/>
        </w:pBdr>
        <w:ind w:right="49"/>
        <w:jc w:val="both"/>
        <w:rPr>
          <w:rFonts w:ascii="Garamond" w:eastAsia="Garamond" w:hAnsi="Garamond" w:cs="Garamond"/>
          <w:color w:val="000000"/>
        </w:rPr>
      </w:pPr>
      <w:r w:rsidRPr="00BF757C">
        <w:rPr>
          <w:rFonts w:ascii="Garamond" w:eastAsia="Garamond" w:hAnsi="Garamond" w:cs="Garamond"/>
          <w:color w:val="000000"/>
        </w:rPr>
        <w:t>Es importante conocer la demanda histórica de la Alcaldía Local de San Cristóbal, con el fin de estimar los valores asociados a los servicios contratados.</w:t>
      </w:r>
    </w:p>
    <w:p w14:paraId="20550A20" w14:textId="77777777" w:rsidR="004051D4" w:rsidRDefault="004051D4" w:rsidP="004051D4">
      <w:pPr>
        <w:pBdr>
          <w:top w:val="nil"/>
          <w:left w:val="nil"/>
          <w:bottom w:val="nil"/>
          <w:right w:val="nil"/>
          <w:between w:val="nil"/>
        </w:pBdr>
        <w:ind w:right="256"/>
        <w:jc w:val="both"/>
        <w:rPr>
          <w:rFonts w:ascii="Garamond" w:eastAsia="Garamond" w:hAnsi="Garamond" w:cs="Garamond"/>
          <w:color w:val="000000"/>
        </w:rPr>
      </w:pPr>
    </w:p>
    <w:p w14:paraId="79723F25" w14:textId="77777777" w:rsidR="004051D4" w:rsidRPr="00BF757C" w:rsidRDefault="004051D4" w:rsidP="004051D4">
      <w:pPr>
        <w:pBdr>
          <w:top w:val="nil"/>
          <w:left w:val="nil"/>
          <w:bottom w:val="nil"/>
          <w:right w:val="nil"/>
          <w:between w:val="nil"/>
        </w:pBdr>
        <w:ind w:right="256"/>
        <w:jc w:val="both"/>
        <w:rPr>
          <w:rFonts w:ascii="Garamond" w:eastAsia="Garamond" w:hAnsi="Garamond" w:cs="Garamond"/>
          <w:color w:val="000000"/>
        </w:rPr>
      </w:pPr>
    </w:p>
    <w:p w14:paraId="2EED6042" w14:textId="77777777" w:rsidR="004051D4" w:rsidRPr="00B70AA0" w:rsidRDefault="004051D4" w:rsidP="004051D4">
      <w:pPr>
        <w:ind w:left="7" w:right="7"/>
        <w:jc w:val="both"/>
        <w:rPr>
          <w:rFonts w:ascii="Garamond" w:eastAsia="Garamond" w:hAnsi="Garamond" w:cs="Garamond"/>
          <w:i/>
        </w:rPr>
      </w:pPr>
      <w:r w:rsidRPr="00B70AA0">
        <w:rPr>
          <w:rFonts w:ascii="Garamond" w:eastAsia="Garamond" w:hAnsi="Garamond" w:cs="Garamond"/>
          <w:i/>
        </w:rPr>
        <w:lastRenderedPageBreak/>
        <w:t>Tabla 1. Adquisiciones previas de la entidad</w:t>
      </w:r>
    </w:p>
    <w:p w14:paraId="63929A84" w14:textId="77777777" w:rsidR="004051D4" w:rsidRPr="00B70AA0" w:rsidRDefault="004051D4" w:rsidP="004051D4">
      <w:pPr>
        <w:ind w:left="7" w:right="7"/>
        <w:jc w:val="both"/>
        <w:rPr>
          <w:rFonts w:ascii="Garamond" w:eastAsia="Garamond" w:hAnsi="Garamond" w:cs="Garamond"/>
          <w: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23"/>
        <w:gridCol w:w="1959"/>
        <w:gridCol w:w="2483"/>
        <w:gridCol w:w="1134"/>
        <w:gridCol w:w="993"/>
        <w:gridCol w:w="1275"/>
      </w:tblGrid>
      <w:tr w:rsidR="00B70AA0" w:rsidRPr="00B70AA0" w14:paraId="3E77D49D" w14:textId="77777777" w:rsidTr="00C6120B">
        <w:tc>
          <w:tcPr>
            <w:tcW w:w="1223" w:type="dxa"/>
          </w:tcPr>
          <w:p w14:paraId="0A3EB24B" w14:textId="77777777" w:rsidR="004051D4" w:rsidRPr="00B70AA0" w:rsidRDefault="004051D4" w:rsidP="005924F0">
            <w:pPr>
              <w:pBdr>
                <w:top w:val="nil"/>
                <w:left w:val="nil"/>
                <w:bottom w:val="nil"/>
                <w:right w:val="nil"/>
                <w:between w:val="nil"/>
              </w:pBdr>
              <w:jc w:val="both"/>
              <w:rPr>
                <w:rFonts w:ascii="Garamond" w:eastAsia="Garamond" w:hAnsi="Garamond" w:cs="Garamond"/>
                <w:b/>
                <w:sz w:val="20"/>
                <w:szCs w:val="20"/>
              </w:rPr>
            </w:pPr>
          </w:p>
          <w:p w14:paraId="224A8FC9" w14:textId="77777777" w:rsidR="004051D4" w:rsidRPr="00B70AA0" w:rsidRDefault="004051D4" w:rsidP="005924F0">
            <w:pPr>
              <w:pBdr>
                <w:top w:val="nil"/>
                <w:left w:val="nil"/>
                <w:bottom w:val="nil"/>
                <w:right w:val="nil"/>
                <w:between w:val="nil"/>
              </w:pBdr>
              <w:jc w:val="both"/>
              <w:rPr>
                <w:rFonts w:ascii="Garamond" w:eastAsia="Garamond" w:hAnsi="Garamond" w:cs="Garamond"/>
                <w:i/>
                <w:sz w:val="20"/>
                <w:szCs w:val="20"/>
              </w:rPr>
            </w:pPr>
            <w:r w:rsidRPr="00B70AA0">
              <w:rPr>
                <w:rFonts w:ascii="Garamond" w:eastAsia="Garamond" w:hAnsi="Garamond" w:cs="Garamond"/>
                <w:b/>
                <w:sz w:val="20"/>
                <w:szCs w:val="20"/>
              </w:rPr>
              <w:t>ENTIDAD</w:t>
            </w:r>
          </w:p>
        </w:tc>
        <w:tc>
          <w:tcPr>
            <w:tcW w:w="1959" w:type="dxa"/>
          </w:tcPr>
          <w:p w14:paraId="217ACFC3" w14:textId="77777777" w:rsidR="004051D4" w:rsidRPr="00B70AA0" w:rsidRDefault="004051D4" w:rsidP="005924F0">
            <w:pPr>
              <w:pBdr>
                <w:top w:val="nil"/>
                <w:left w:val="nil"/>
                <w:bottom w:val="nil"/>
                <w:right w:val="nil"/>
                <w:between w:val="nil"/>
              </w:pBdr>
              <w:jc w:val="both"/>
              <w:rPr>
                <w:rFonts w:ascii="Garamond" w:eastAsia="Garamond" w:hAnsi="Garamond" w:cs="Garamond"/>
                <w:b/>
                <w:sz w:val="20"/>
                <w:szCs w:val="20"/>
              </w:rPr>
            </w:pPr>
          </w:p>
          <w:p w14:paraId="7F813916" w14:textId="77777777" w:rsidR="004051D4" w:rsidRPr="00B70AA0" w:rsidRDefault="004051D4" w:rsidP="005924F0">
            <w:pPr>
              <w:pBdr>
                <w:top w:val="nil"/>
                <w:left w:val="nil"/>
                <w:bottom w:val="nil"/>
                <w:right w:val="nil"/>
                <w:between w:val="nil"/>
              </w:pBdr>
              <w:jc w:val="both"/>
              <w:rPr>
                <w:rFonts w:ascii="Garamond" w:eastAsia="Garamond" w:hAnsi="Garamond" w:cs="Garamond"/>
                <w:i/>
                <w:sz w:val="20"/>
                <w:szCs w:val="20"/>
              </w:rPr>
            </w:pPr>
            <w:r w:rsidRPr="00B70AA0">
              <w:rPr>
                <w:rFonts w:ascii="Garamond" w:eastAsia="Garamond" w:hAnsi="Garamond" w:cs="Garamond"/>
                <w:b/>
                <w:sz w:val="20"/>
                <w:szCs w:val="20"/>
              </w:rPr>
              <w:t>REFERENCIA</w:t>
            </w:r>
          </w:p>
        </w:tc>
        <w:tc>
          <w:tcPr>
            <w:tcW w:w="2483" w:type="dxa"/>
          </w:tcPr>
          <w:p w14:paraId="1B780B9D" w14:textId="77777777" w:rsidR="004051D4" w:rsidRPr="00B70AA0" w:rsidRDefault="004051D4" w:rsidP="005924F0">
            <w:pPr>
              <w:pBdr>
                <w:top w:val="nil"/>
                <w:left w:val="nil"/>
                <w:bottom w:val="nil"/>
                <w:right w:val="nil"/>
                <w:between w:val="nil"/>
              </w:pBdr>
              <w:jc w:val="both"/>
              <w:rPr>
                <w:rFonts w:ascii="Garamond" w:eastAsia="Garamond" w:hAnsi="Garamond" w:cs="Garamond"/>
                <w:b/>
                <w:sz w:val="20"/>
                <w:szCs w:val="20"/>
              </w:rPr>
            </w:pPr>
          </w:p>
          <w:p w14:paraId="67623B02" w14:textId="77777777" w:rsidR="004051D4" w:rsidRPr="00B70AA0" w:rsidRDefault="004051D4" w:rsidP="005924F0">
            <w:pPr>
              <w:pBdr>
                <w:top w:val="nil"/>
                <w:left w:val="nil"/>
                <w:bottom w:val="nil"/>
                <w:right w:val="nil"/>
                <w:between w:val="nil"/>
              </w:pBdr>
              <w:jc w:val="both"/>
              <w:rPr>
                <w:rFonts w:ascii="Garamond" w:eastAsia="Garamond" w:hAnsi="Garamond" w:cs="Garamond"/>
                <w:i/>
                <w:sz w:val="20"/>
                <w:szCs w:val="20"/>
              </w:rPr>
            </w:pPr>
            <w:r w:rsidRPr="00B70AA0">
              <w:rPr>
                <w:rFonts w:ascii="Garamond" w:eastAsia="Garamond" w:hAnsi="Garamond" w:cs="Garamond"/>
                <w:b/>
                <w:sz w:val="20"/>
                <w:szCs w:val="20"/>
              </w:rPr>
              <w:t>DESCRIPCIÓN</w:t>
            </w:r>
          </w:p>
        </w:tc>
        <w:tc>
          <w:tcPr>
            <w:tcW w:w="1134" w:type="dxa"/>
          </w:tcPr>
          <w:p w14:paraId="3E7EA5AD" w14:textId="77777777" w:rsidR="004051D4" w:rsidRPr="00B70AA0" w:rsidRDefault="004051D4" w:rsidP="005924F0">
            <w:pPr>
              <w:pBdr>
                <w:top w:val="nil"/>
                <w:left w:val="nil"/>
                <w:bottom w:val="nil"/>
                <w:right w:val="nil"/>
                <w:between w:val="nil"/>
              </w:pBdr>
              <w:jc w:val="both"/>
              <w:rPr>
                <w:rFonts w:ascii="Garamond" w:eastAsia="Garamond" w:hAnsi="Garamond" w:cs="Garamond"/>
                <w:b/>
                <w:sz w:val="20"/>
                <w:szCs w:val="20"/>
              </w:rPr>
            </w:pPr>
          </w:p>
          <w:p w14:paraId="1BA6B18C" w14:textId="77777777" w:rsidR="004051D4" w:rsidRPr="00B70AA0" w:rsidRDefault="004051D4" w:rsidP="005924F0">
            <w:pPr>
              <w:pBdr>
                <w:top w:val="nil"/>
                <w:left w:val="nil"/>
                <w:bottom w:val="nil"/>
                <w:right w:val="nil"/>
                <w:between w:val="nil"/>
              </w:pBdr>
              <w:jc w:val="both"/>
              <w:rPr>
                <w:rFonts w:ascii="Garamond" w:eastAsia="Garamond" w:hAnsi="Garamond" w:cs="Garamond"/>
                <w:i/>
                <w:sz w:val="20"/>
                <w:szCs w:val="20"/>
              </w:rPr>
            </w:pPr>
            <w:r w:rsidRPr="00B70AA0">
              <w:rPr>
                <w:rFonts w:ascii="Garamond" w:eastAsia="Garamond" w:hAnsi="Garamond" w:cs="Garamond"/>
                <w:b/>
                <w:sz w:val="20"/>
                <w:szCs w:val="20"/>
              </w:rPr>
              <w:t>CUANTÍA</w:t>
            </w:r>
          </w:p>
        </w:tc>
        <w:tc>
          <w:tcPr>
            <w:tcW w:w="993" w:type="dxa"/>
          </w:tcPr>
          <w:p w14:paraId="64F5F736" w14:textId="77777777" w:rsidR="004051D4" w:rsidRPr="00B70AA0" w:rsidRDefault="004051D4" w:rsidP="005924F0">
            <w:pPr>
              <w:pBdr>
                <w:top w:val="nil"/>
                <w:left w:val="nil"/>
                <w:bottom w:val="nil"/>
                <w:right w:val="nil"/>
                <w:between w:val="nil"/>
              </w:pBdr>
              <w:spacing w:line="235" w:lineRule="auto"/>
              <w:jc w:val="both"/>
              <w:rPr>
                <w:rFonts w:ascii="Garamond" w:eastAsia="Garamond" w:hAnsi="Garamond" w:cs="Garamond"/>
                <w:b/>
                <w:sz w:val="20"/>
                <w:szCs w:val="20"/>
              </w:rPr>
            </w:pPr>
            <w:r w:rsidRPr="00B70AA0">
              <w:rPr>
                <w:rFonts w:ascii="Garamond" w:eastAsia="Garamond" w:hAnsi="Garamond" w:cs="Garamond"/>
                <w:b/>
                <w:sz w:val="20"/>
                <w:szCs w:val="20"/>
              </w:rPr>
              <w:t>PLAZO</w:t>
            </w:r>
          </w:p>
          <w:p w14:paraId="4B19CB07" w14:textId="77777777" w:rsidR="004051D4" w:rsidRPr="00B70AA0" w:rsidRDefault="004051D4" w:rsidP="005924F0">
            <w:pPr>
              <w:pBdr>
                <w:top w:val="nil"/>
                <w:left w:val="nil"/>
                <w:bottom w:val="nil"/>
                <w:right w:val="nil"/>
                <w:between w:val="nil"/>
              </w:pBdr>
              <w:jc w:val="both"/>
              <w:rPr>
                <w:rFonts w:ascii="Garamond" w:eastAsia="Garamond" w:hAnsi="Garamond" w:cs="Garamond"/>
                <w:i/>
                <w:sz w:val="20"/>
                <w:szCs w:val="20"/>
              </w:rPr>
            </w:pPr>
            <w:r w:rsidRPr="00B70AA0">
              <w:rPr>
                <w:rFonts w:ascii="Garamond" w:eastAsia="Garamond" w:hAnsi="Garamond" w:cs="Garamond"/>
                <w:b/>
                <w:sz w:val="20"/>
                <w:szCs w:val="20"/>
              </w:rPr>
              <w:t>(MESES)</w:t>
            </w:r>
          </w:p>
        </w:tc>
        <w:tc>
          <w:tcPr>
            <w:tcW w:w="1275" w:type="dxa"/>
          </w:tcPr>
          <w:p w14:paraId="378EA169" w14:textId="77777777" w:rsidR="004051D4" w:rsidRPr="00B70AA0" w:rsidRDefault="004051D4" w:rsidP="005924F0">
            <w:pPr>
              <w:pBdr>
                <w:top w:val="nil"/>
                <w:left w:val="nil"/>
                <w:bottom w:val="nil"/>
                <w:right w:val="nil"/>
                <w:between w:val="nil"/>
              </w:pBdr>
              <w:jc w:val="both"/>
              <w:rPr>
                <w:rFonts w:ascii="Garamond" w:eastAsia="Garamond" w:hAnsi="Garamond" w:cs="Garamond"/>
                <w:b/>
                <w:sz w:val="20"/>
                <w:szCs w:val="20"/>
              </w:rPr>
            </w:pPr>
          </w:p>
          <w:p w14:paraId="75D31920" w14:textId="77777777" w:rsidR="004051D4" w:rsidRPr="00B70AA0" w:rsidRDefault="004051D4" w:rsidP="005924F0">
            <w:pPr>
              <w:pBdr>
                <w:top w:val="nil"/>
                <w:left w:val="nil"/>
                <w:bottom w:val="nil"/>
                <w:right w:val="nil"/>
                <w:between w:val="nil"/>
              </w:pBdr>
              <w:jc w:val="both"/>
              <w:rPr>
                <w:rFonts w:ascii="Garamond" w:eastAsia="Garamond" w:hAnsi="Garamond" w:cs="Garamond"/>
                <w:i/>
                <w:sz w:val="20"/>
                <w:szCs w:val="20"/>
              </w:rPr>
            </w:pPr>
            <w:r w:rsidRPr="00B70AA0">
              <w:rPr>
                <w:rFonts w:ascii="Garamond" w:eastAsia="Garamond" w:hAnsi="Garamond" w:cs="Garamond"/>
                <w:b/>
                <w:sz w:val="20"/>
                <w:szCs w:val="20"/>
              </w:rPr>
              <w:t>ESTADO</w:t>
            </w:r>
          </w:p>
        </w:tc>
      </w:tr>
      <w:tr w:rsidR="00B70AA0" w:rsidRPr="00B70AA0" w14:paraId="6498D9C2" w14:textId="77777777" w:rsidTr="00C6120B">
        <w:tc>
          <w:tcPr>
            <w:tcW w:w="1223" w:type="dxa"/>
          </w:tcPr>
          <w:p w14:paraId="5218916A" w14:textId="77777777" w:rsidR="001742A1" w:rsidRPr="00B70AA0" w:rsidRDefault="001742A1" w:rsidP="001742A1">
            <w:pPr>
              <w:pBdr>
                <w:top w:val="nil"/>
                <w:left w:val="nil"/>
                <w:bottom w:val="nil"/>
                <w:right w:val="nil"/>
                <w:between w:val="nil"/>
              </w:pBdr>
              <w:tabs>
                <w:tab w:val="left" w:pos="1057"/>
              </w:tabs>
              <w:spacing w:line="232" w:lineRule="auto"/>
              <w:ind w:right="94"/>
              <w:jc w:val="both"/>
              <w:rPr>
                <w:rFonts w:ascii="Garamond" w:eastAsia="Garamond" w:hAnsi="Garamond" w:cs="Garamond"/>
              </w:rPr>
            </w:pPr>
            <w:r w:rsidRPr="00B70AA0">
              <w:rPr>
                <w:rFonts w:ascii="Garamond" w:eastAsia="Garamond" w:hAnsi="Garamond" w:cs="Garamond"/>
              </w:rPr>
              <w:t>Alcaldía Local de</w:t>
            </w:r>
          </w:p>
          <w:p w14:paraId="3C107F50" w14:textId="138F7869" w:rsidR="001742A1" w:rsidRPr="00B70AA0" w:rsidRDefault="001742A1" w:rsidP="001742A1">
            <w:pPr>
              <w:pBdr>
                <w:top w:val="nil"/>
                <w:left w:val="nil"/>
                <w:bottom w:val="nil"/>
                <w:right w:val="nil"/>
                <w:between w:val="nil"/>
              </w:pBdr>
              <w:tabs>
                <w:tab w:val="left" w:pos="1057"/>
              </w:tabs>
              <w:spacing w:line="232" w:lineRule="auto"/>
              <w:ind w:right="94"/>
              <w:jc w:val="both"/>
              <w:rPr>
                <w:rFonts w:ascii="Garamond" w:eastAsia="Garamond" w:hAnsi="Garamond" w:cs="Garamond"/>
              </w:rPr>
            </w:pPr>
            <w:r w:rsidRPr="00B70AA0">
              <w:rPr>
                <w:rFonts w:ascii="Garamond" w:eastAsia="Garamond" w:hAnsi="Garamond" w:cs="Garamond"/>
              </w:rPr>
              <w:t>San Cristóbal</w:t>
            </w:r>
          </w:p>
        </w:tc>
        <w:tc>
          <w:tcPr>
            <w:tcW w:w="1959" w:type="dxa"/>
          </w:tcPr>
          <w:p w14:paraId="5FF0F794" w14:textId="277A5538" w:rsidR="001742A1" w:rsidRPr="00B70AA0" w:rsidRDefault="001742A1" w:rsidP="001742A1">
            <w:pPr>
              <w:pBdr>
                <w:top w:val="nil"/>
                <w:left w:val="nil"/>
                <w:bottom w:val="nil"/>
                <w:right w:val="nil"/>
                <w:between w:val="nil"/>
              </w:pBdr>
              <w:jc w:val="both"/>
              <w:rPr>
                <w:rFonts w:ascii="Garamond" w:eastAsia="Garamond" w:hAnsi="Garamond" w:cs="Garamond"/>
              </w:rPr>
            </w:pPr>
            <w:r w:rsidRPr="00B70AA0">
              <w:t>FDLSC-CSU-889-2025</w:t>
            </w:r>
          </w:p>
        </w:tc>
        <w:tc>
          <w:tcPr>
            <w:tcW w:w="2483" w:type="dxa"/>
          </w:tcPr>
          <w:p w14:paraId="2FB54F88" w14:textId="77777777" w:rsidR="001742A1" w:rsidRPr="00B70AA0" w:rsidRDefault="001742A1" w:rsidP="001742A1">
            <w:pPr>
              <w:pBdr>
                <w:top w:val="nil"/>
                <w:left w:val="nil"/>
                <w:bottom w:val="nil"/>
                <w:right w:val="nil"/>
                <w:between w:val="nil"/>
              </w:pBdr>
              <w:ind w:left="106"/>
              <w:jc w:val="both"/>
              <w:rPr>
                <w:rFonts w:ascii="Garamond" w:eastAsia="Garamond" w:hAnsi="Garamond" w:cs="Garamond"/>
              </w:rPr>
            </w:pPr>
            <w:r w:rsidRPr="00B70AA0">
              <w:rPr>
                <w:rFonts w:ascii="Garamond" w:eastAsia="Garamond" w:hAnsi="Garamond" w:cs="Garamond"/>
              </w:rPr>
              <w:t>Dotación Juntas de Acción Comunal</w:t>
            </w:r>
          </w:p>
          <w:p w14:paraId="3A56C899" w14:textId="598DCB18" w:rsidR="001742A1" w:rsidRPr="00B70AA0" w:rsidRDefault="001742A1" w:rsidP="001742A1">
            <w:pPr>
              <w:pBdr>
                <w:top w:val="nil"/>
                <w:left w:val="nil"/>
                <w:bottom w:val="nil"/>
                <w:right w:val="nil"/>
                <w:between w:val="nil"/>
              </w:pBdr>
              <w:ind w:left="106"/>
              <w:jc w:val="both"/>
              <w:rPr>
                <w:rFonts w:ascii="Garamond" w:eastAsia="Garamond" w:hAnsi="Garamond" w:cs="Garamond"/>
              </w:rPr>
            </w:pPr>
          </w:p>
        </w:tc>
        <w:tc>
          <w:tcPr>
            <w:tcW w:w="1134" w:type="dxa"/>
          </w:tcPr>
          <w:p w14:paraId="2E5A7BA3" w14:textId="367A64F8" w:rsidR="001742A1" w:rsidRPr="00B70AA0" w:rsidRDefault="001742A1" w:rsidP="001742A1">
            <w:pPr>
              <w:pBdr>
                <w:top w:val="nil"/>
                <w:left w:val="nil"/>
                <w:bottom w:val="nil"/>
                <w:right w:val="nil"/>
                <w:between w:val="nil"/>
              </w:pBdr>
              <w:jc w:val="both"/>
              <w:rPr>
                <w:rFonts w:ascii="Garamond" w:eastAsia="Garamond" w:hAnsi="Garamond" w:cs="Garamond"/>
                <w:b/>
              </w:rPr>
            </w:pPr>
            <w:r w:rsidRPr="00B70AA0">
              <w:rPr>
                <w:rFonts w:ascii="Garamond" w:eastAsia="Garamond" w:hAnsi="Garamond" w:cs="Garamond"/>
                <w:b/>
              </w:rPr>
              <w:t>4</w:t>
            </w:r>
            <w:r w:rsidRPr="00B70AA0">
              <w:rPr>
                <w:rFonts w:ascii="Garamond" w:eastAsia="Garamond" w:hAnsi="Garamond" w:cs="Garamond"/>
              </w:rPr>
              <w:t>00.000.000 COP</w:t>
            </w:r>
          </w:p>
        </w:tc>
        <w:tc>
          <w:tcPr>
            <w:tcW w:w="993" w:type="dxa"/>
          </w:tcPr>
          <w:p w14:paraId="6045DED3" w14:textId="45C226A5" w:rsidR="001742A1" w:rsidRPr="00B70AA0" w:rsidRDefault="001742A1" w:rsidP="001742A1">
            <w:pPr>
              <w:pBdr>
                <w:top w:val="nil"/>
                <w:left w:val="nil"/>
                <w:bottom w:val="nil"/>
                <w:right w:val="nil"/>
                <w:between w:val="nil"/>
              </w:pBdr>
              <w:spacing w:line="235" w:lineRule="auto"/>
              <w:jc w:val="both"/>
              <w:rPr>
                <w:rFonts w:ascii="Garamond" w:eastAsia="Garamond" w:hAnsi="Garamond" w:cs="Garamond"/>
              </w:rPr>
            </w:pPr>
            <w:r w:rsidRPr="00B70AA0">
              <w:rPr>
                <w:rFonts w:ascii="Garamond" w:eastAsia="Garamond" w:hAnsi="Garamond" w:cs="Garamond"/>
              </w:rPr>
              <w:t>8 (meses)</w:t>
            </w:r>
          </w:p>
        </w:tc>
        <w:tc>
          <w:tcPr>
            <w:tcW w:w="1275" w:type="dxa"/>
          </w:tcPr>
          <w:p w14:paraId="738230D9" w14:textId="60FFCF7E" w:rsidR="001742A1" w:rsidRPr="00B70AA0" w:rsidRDefault="001742A1" w:rsidP="001742A1">
            <w:pPr>
              <w:pBdr>
                <w:top w:val="nil"/>
                <w:left w:val="nil"/>
                <w:bottom w:val="nil"/>
                <w:right w:val="nil"/>
                <w:between w:val="nil"/>
              </w:pBdr>
              <w:jc w:val="both"/>
              <w:rPr>
                <w:rFonts w:ascii="Garamond" w:eastAsia="Garamond" w:hAnsi="Garamond" w:cs="Garamond"/>
              </w:rPr>
            </w:pPr>
            <w:r w:rsidRPr="00B70AA0">
              <w:rPr>
                <w:rFonts w:ascii="Garamond" w:eastAsia="Garamond" w:hAnsi="Garamond" w:cs="Garamond"/>
              </w:rPr>
              <w:t>Proceso adjudicado, en ejecución</w:t>
            </w:r>
          </w:p>
        </w:tc>
      </w:tr>
      <w:tr w:rsidR="00B70AA0" w:rsidRPr="00B70AA0" w14:paraId="185E41FA" w14:textId="77777777" w:rsidTr="00C6120B">
        <w:tc>
          <w:tcPr>
            <w:tcW w:w="1223" w:type="dxa"/>
          </w:tcPr>
          <w:p w14:paraId="57C442EE" w14:textId="77777777" w:rsidR="00DD4F04" w:rsidRPr="00B70AA0" w:rsidRDefault="00DD4F04" w:rsidP="00DD4F04">
            <w:pPr>
              <w:pBdr>
                <w:top w:val="nil"/>
                <w:left w:val="nil"/>
                <w:bottom w:val="nil"/>
                <w:right w:val="nil"/>
                <w:between w:val="nil"/>
              </w:pBdr>
              <w:tabs>
                <w:tab w:val="left" w:pos="1057"/>
              </w:tabs>
              <w:spacing w:line="232" w:lineRule="auto"/>
              <w:ind w:right="94"/>
              <w:jc w:val="both"/>
              <w:rPr>
                <w:rFonts w:ascii="Garamond" w:eastAsia="Garamond" w:hAnsi="Garamond" w:cs="Garamond"/>
              </w:rPr>
            </w:pPr>
            <w:r w:rsidRPr="00B70AA0">
              <w:rPr>
                <w:rFonts w:ascii="Garamond" w:eastAsia="Garamond" w:hAnsi="Garamond" w:cs="Garamond"/>
              </w:rPr>
              <w:t>Alcaldía Local de</w:t>
            </w:r>
          </w:p>
          <w:p w14:paraId="77B31CD7" w14:textId="1F48856C" w:rsidR="00C6120B" w:rsidRPr="00B70AA0" w:rsidRDefault="00DD4F04" w:rsidP="00DD4F04">
            <w:pPr>
              <w:pBdr>
                <w:top w:val="nil"/>
                <w:left w:val="nil"/>
                <w:bottom w:val="nil"/>
                <w:right w:val="nil"/>
                <w:between w:val="nil"/>
              </w:pBdr>
              <w:tabs>
                <w:tab w:val="left" w:pos="1057"/>
              </w:tabs>
              <w:spacing w:line="232" w:lineRule="auto"/>
              <w:ind w:right="94"/>
              <w:jc w:val="both"/>
              <w:rPr>
                <w:rFonts w:ascii="Garamond" w:eastAsia="Garamond" w:hAnsi="Garamond" w:cs="Garamond"/>
              </w:rPr>
            </w:pPr>
            <w:r w:rsidRPr="00B70AA0">
              <w:rPr>
                <w:rFonts w:ascii="Garamond" w:eastAsia="Garamond" w:hAnsi="Garamond" w:cs="Garamond"/>
              </w:rPr>
              <w:t>San Cristóbal</w:t>
            </w:r>
          </w:p>
        </w:tc>
        <w:tc>
          <w:tcPr>
            <w:tcW w:w="1959" w:type="dxa"/>
          </w:tcPr>
          <w:p w14:paraId="2D66643C" w14:textId="25E77C25" w:rsidR="00C6120B" w:rsidRPr="00B70AA0" w:rsidRDefault="00C6120B" w:rsidP="005924F0">
            <w:pPr>
              <w:pBdr>
                <w:top w:val="nil"/>
                <w:left w:val="nil"/>
                <w:bottom w:val="nil"/>
                <w:right w:val="nil"/>
                <w:between w:val="nil"/>
              </w:pBdr>
              <w:jc w:val="both"/>
              <w:rPr>
                <w:rFonts w:ascii="Garamond" w:eastAsia="Garamond" w:hAnsi="Garamond" w:cs="Garamond"/>
              </w:rPr>
            </w:pPr>
            <w:r w:rsidRPr="00B70AA0">
              <w:rPr>
                <w:rFonts w:ascii="Garamond" w:eastAsia="Garamond" w:hAnsi="Garamond" w:cs="Garamond"/>
              </w:rPr>
              <w:t>FDLSC-CSU-1151-2024</w:t>
            </w:r>
          </w:p>
        </w:tc>
        <w:tc>
          <w:tcPr>
            <w:tcW w:w="2483" w:type="dxa"/>
          </w:tcPr>
          <w:p w14:paraId="38735756" w14:textId="77777777" w:rsidR="00C6120B" w:rsidRPr="00B70AA0" w:rsidRDefault="00C6120B" w:rsidP="00C6120B">
            <w:pPr>
              <w:pBdr>
                <w:top w:val="nil"/>
                <w:left w:val="nil"/>
                <w:bottom w:val="nil"/>
                <w:right w:val="nil"/>
                <w:between w:val="nil"/>
              </w:pBdr>
              <w:ind w:left="106"/>
              <w:jc w:val="both"/>
              <w:rPr>
                <w:rFonts w:ascii="Garamond" w:eastAsia="Garamond" w:hAnsi="Garamond" w:cs="Garamond"/>
              </w:rPr>
            </w:pPr>
            <w:r w:rsidRPr="00B70AA0">
              <w:rPr>
                <w:rFonts w:ascii="Garamond" w:eastAsia="Garamond" w:hAnsi="Garamond" w:cs="Garamond"/>
              </w:rPr>
              <w:t>Dotación Juntas de Acción Comunal</w:t>
            </w:r>
          </w:p>
          <w:p w14:paraId="4C201CA6" w14:textId="77777777" w:rsidR="00C6120B" w:rsidRPr="00B70AA0" w:rsidRDefault="00C6120B" w:rsidP="005924F0">
            <w:pPr>
              <w:pBdr>
                <w:top w:val="nil"/>
                <w:left w:val="nil"/>
                <w:bottom w:val="nil"/>
                <w:right w:val="nil"/>
                <w:between w:val="nil"/>
              </w:pBdr>
              <w:ind w:left="106"/>
              <w:jc w:val="both"/>
              <w:rPr>
                <w:rFonts w:ascii="Garamond" w:eastAsia="Garamond" w:hAnsi="Garamond" w:cs="Garamond"/>
              </w:rPr>
            </w:pPr>
          </w:p>
        </w:tc>
        <w:tc>
          <w:tcPr>
            <w:tcW w:w="1134" w:type="dxa"/>
          </w:tcPr>
          <w:p w14:paraId="06F7F7C1" w14:textId="2719244C" w:rsidR="00C6120B" w:rsidRPr="00B70AA0" w:rsidRDefault="00C6120B" w:rsidP="005924F0">
            <w:pPr>
              <w:pBdr>
                <w:top w:val="nil"/>
                <w:left w:val="nil"/>
                <w:bottom w:val="nil"/>
                <w:right w:val="nil"/>
                <w:between w:val="nil"/>
              </w:pBdr>
              <w:jc w:val="both"/>
              <w:rPr>
                <w:rFonts w:ascii="Garamond" w:eastAsia="Garamond" w:hAnsi="Garamond" w:cs="Garamond"/>
                <w:b/>
              </w:rPr>
            </w:pPr>
            <w:r w:rsidRPr="00B70AA0">
              <w:rPr>
                <w:rFonts w:ascii="Garamond" w:eastAsia="Garamond" w:hAnsi="Garamond" w:cs="Garamond"/>
                <w:b/>
              </w:rPr>
              <w:t>4</w:t>
            </w:r>
            <w:r w:rsidRPr="00B70AA0">
              <w:rPr>
                <w:rFonts w:ascii="Garamond" w:eastAsia="Garamond" w:hAnsi="Garamond" w:cs="Garamond"/>
              </w:rPr>
              <w:t>50.000.000 COP</w:t>
            </w:r>
          </w:p>
        </w:tc>
        <w:tc>
          <w:tcPr>
            <w:tcW w:w="993" w:type="dxa"/>
          </w:tcPr>
          <w:p w14:paraId="71E86CB8" w14:textId="3E051F6B" w:rsidR="00C6120B" w:rsidRPr="00B70AA0" w:rsidRDefault="00C6120B" w:rsidP="005924F0">
            <w:pPr>
              <w:pBdr>
                <w:top w:val="nil"/>
                <w:left w:val="nil"/>
                <w:bottom w:val="nil"/>
                <w:right w:val="nil"/>
                <w:between w:val="nil"/>
              </w:pBdr>
              <w:spacing w:line="235" w:lineRule="auto"/>
              <w:jc w:val="both"/>
              <w:rPr>
                <w:rFonts w:ascii="Garamond" w:eastAsia="Garamond" w:hAnsi="Garamond" w:cs="Garamond"/>
                <w:b/>
              </w:rPr>
            </w:pPr>
            <w:r w:rsidRPr="00B70AA0">
              <w:rPr>
                <w:rFonts w:ascii="Garamond" w:eastAsia="Garamond" w:hAnsi="Garamond" w:cs="Garamond"/>
              </w:rPr>
              <w:t>6 (meses)</w:t>
            </w:r>
          </w:p>
        </w:tc>
        <w:tc>
          <w:tcPr>
            <w:tcW w:w="1275" w:type="dxa"/>
          </w:tcPr>
          <w:p w14:paraId="7C9FC53A" w14:textId="17B12897" w:rsidR="00C6120B" w:rsidRPr="00B70AA0" w:rsidRDefault="00C6120B" w:rsidP="005924F0">
            <w:pPr>
              <w:pBdr>
                <w:top w:val="nil"/>
                <w:left w:val="nil"/>
                <w:bottom w:val="nil"/>
                <w:right w:val="nil"/>
                <w:between w:val="nil"/>
              </w:pBdr>
              <w:jc w:val="both"/>
              <w:rPr>
                <w:rFonts w:ascii="Garamond" w:eastAsia="Garamond" w:hAnsi="Garamond" w:cs="Garamond"/>
              </w:rPr>
            </w:pPr>
            <w:r w:rsidRPr="00B70AA0">
              <w:rPr>
                <w:rFonts w:ascii="Garamond" w:eastAsia="Garamond" w:hAnsi="Garamond" w:cs="Garamond"/>
              </w:rPr>
              <w:t>Proceso adjudicado, en ejecución</w:t>
            </w:r>
          </w:p>
        </w:tc>
      </w:tr>
      <w:tr w:rsidR="004051D4" w:rsidRPr="00BF757C" w14:paraId="18C54748" w14:textId="77777777" w:rsidTr="00C6120B">
        <w:tc>
          <w:tcPr>
            <w:tcW w:w="1223" w:type="dxa"/>
          </w:tcPr>
          <w:p w14:paraId="16246BC5" w14:textId="77777777" w:rsidR="004051D4" w:rsidRPr="009B1ADC" w:rsidRDefault="004051D4" w:rsidP="005924F0">
            <w:pPr>
              <w:pBdr>
                <w:top w:val="nil"/>
                <w:left w:val="nil"/>
                <w:bottom w:val="nil"/>
                <w:right w:val="nil"/>
                <w:between w:val="nil"/>
              </w:pBdr>
              <w:tabs>
                <w:tab w:val="left" w:pos="1057"/>
              </w:tabs>
              <w:spacing w:line="232" w:lineRule="auto"/>
              <w:ind w:right="94"/>
              <w:jc w:val="both"/>
              <w:rPr>
                <w:rFonts w:ascii="Garamond" w:eastAsia="Garamond" w:hAnsi="Garamond" w:cs="Garamond"/>
              </w:rPr>
            </w:pPr>
            <w:r w:rsidRPr="009B1ADC">
              <w:rPr>
                <w:rFonts w:ascii="Garamond" w:eastAsia="Garamond" w:hAnsi="Garamond" w:cs="Garamond"/>
              </w:rPr>
              <w:t>Alcaldía Local de</w:t>
            </w:r>
          </w:p>
          <w:p w14:paraId="0E472B27"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r>
              <w:rPr>
                <w:rFonts w:ascii="Garamond" w:eastAsia="Garamond" w:hAnsi="Garamond" w:cs="Garamond"/>
              </w:rPr>
              <w:t>San Cristóbal</w:t>
            </w:r>
          </w:p>
        </w:tc>
        <w:tc>
          <w:tcPr>
            <w:tcW w:w="1959" w:type="dxa"/>
          </w:tcPr>
          <w:p w14:paraId="5B4F2EB0"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r>
              <w:rPr>
                <w:rFonts w:ascii="Garamond" w:eastAsia="Garamond" w:hAnsi="Garamond" w:cs="Garamond"/>
              </w:rPr>
              <w:t>FDLSC-SASI-048-218</w:t>
            </w:r>
          </w:p>
        </w:tc>
        <w:tc>
          <w:tcPr>
            <w:tcW w:w="2483" w:type="dxa"/>
          </w:tcPr>
          <w:p w14:paraId="07BF06A2" w14:textId="77777777" w:rsidR="004051D4" w:rsidRDefault="004051D4" w:rsidP="005924F0">
            <w:pPr>
              <w:pBdr>
                <w:top w:val="nil"/>
                <w:left w:val="nil"/>
                <w:bottom w:val="nil"/>
                <w:right w:val="nil"/>
                <w:between w:val="nil"/>
              </w:pBdr>
              <w:ind w:left="106"/>
              <w:jc w:val="both"/>
              <w:rPr>
                <w:rFonts w:ascii="Garamond" w:eastAsia="Garamond" w:hAnsi="Garamond" w:cs="Garamond"/>
              </w:rPr>
            </w:pPr>
            <w:r w:rsidRPr="009B1ADC">
              <w:rPr>
                <w:rFonts w:ascii="Garamond" w:eastAsia="Garamond" w:hAnsi="Garamond" w:cs="Garamond"/>
              </w:rPr>
              <w:t>Dotación Juntas de Acción Comunal</w:t>
            </w:r>
          </w:p>
          <w:p w14:paraId="466E2F85" w14:textId="77777777" w:rsidR="004051D4" w:rsidRPr="009B1ADC" w:rsidRDefault="004051D4" w:rsidP="005924F0">
            <w:pPr>
              <w:pBdr>
                <w:top w:val="nil"/>
                <w:left w:val="nil"/>
                <w:bottom w:val="nil"/>
                <w:right w:val="nil"/>
                <w:between w:val="nil"/>
              </w:pBdr>
              <w:ind w:left="106"/>
              <w:jc w:val="both"/>
              <w:rPr>
                <w:rFonts w:ascii="Garamond" w:eastAsia="Garamond" w:hAnsi="Garamond" w:cs="Garamond"/>
              </w:rPr>
            </w:pPr>
          </w:p>
        </w:tc>
        <w:tc>
          <w:tcPr>
            <w:tcW w:w="1134" w:type="dxa"/>
          </w:tcPr>
          <w:p w14:paraId="0C21E3C7"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p>
          <w:p w14:paraId="0B2BF056"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r>
              <w:rPr>
                <w:rFonts w:ascii="Garamond" w:eastAsia="Garamond" w:hAnsi="Garamond" w:cs="Garamond"/>
              </w:rPr>
              <w:t>248.622.105 COP</w:t>
            </w:r>
          </w:p>
        </w:tc>
        <w:tc>
          <w:tcPr>
            <w:tcW w:w="993" w:type="dxa"/>
          </w:tcPr>
          <w:p w14:paraId="2FAFB8B5" w14:textId="77777777" w:rsidR="004051D4" w:rsidRPr="009B1ADC" w:rsidRDefault="004051D4" w:rsidP="005924F0">
            <w:pPr>
              <w:pBdr>
                <w:top w:val="nil"/>
                <w:left w:val="nil"/>
                <w:bottom w:val="nil"/>
                <w:right w:val="nil"/>
                <w:between w:val="nil"/>
              </w:pBdr>
              <w:spacing w:line="235" w:lineRule="auto"/>
              <w:jc w:val="both"/>
              <w:rPr>
                <w:rFonts w:ascii="Garamond" w:eastAsia="Garamond" w:hAnsi="Garamond" w:cs="Garamond"/>
                <w:b/>
              </w:rPr>
            </w:pPr>
          </w:p>
          <w:p w14:paraId="034DCAB4" w14:textId="77777777" w:rsidR="004051D4" w:rsidRPr="009B1ADC" w:rsidRDefault="004051D4" w:rsidP="005924F0">
            <w:pPr>
              <w:pBdr>
                <w:top w:val="nil"/>
                <w:left w:val="nil"/>
                <w:bottom w:val="nil"/>
                <w:right w:val="nil"/>
                <w:between w:val="nil"/>
              </w:pBdr>
              <w:spacing w:line="235" w:lineRule="auto"/>
              <w:jc w:val="both"/>
              <w:rPr>
                <w:rFonts w:ascii="Garamond" w:eastAsia="Garamond" w:hAnsi="Garamond" w:cs="Garamond"/>
              </w:rPr>
            </w:pPr>
            <w:r w:rsidRPr="009B1ADC">
              <w:rPr>
                <w:rFonts w:ascii="Garamond" w:eastAsia="Garamond" w:hAnsi="Garamond" w:cs="Garamond"/>
              </w:rPr>
              <w:t>4 (meses)</w:t>
            </w:r>
          </w:p>
        </w:tc>
        <w:tc>
          <w:tcPr>
            <w:tcW w:w="1275" w:type="dxa"/>
          </w:tcPr>
          <w:p w14:paraId="5A6611CA"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r w:rsidRPr="009B1ADC">
              <w:rPr>
                <w:rFonts w:ascii="Garamond" w:eastAsia="Garamond" w:hAnsi="Garamond" w:cs="Garamond"/>
              </w:rPr>
              <w:t>Proceso adjudicado y celebrado</w:t>
            </w:r>
          </w:p>
        </w:tc>
      </w:tr>
    </w:tbl>
    <w:p w14:paraId="488B8785" w14:textId="77777777" w:rsidR="00EB1060" w:rsidRPr="00EB1060" w:rsidRDefault="00EB1060" w:rsidP="00EB1060">
      <w:pPr>
        <w:rPr>
          <w:rFonts w:eastAsia="Garamond"/>
        </w:rPr>
      </w:pPr>
    </w:p>
    <w:p w14:paraId="02D5A625" w14:textId="77777777" w:rsidR="004051D4" w:rsidRPr="004A3457" w:rsidRDefault="004051D4" w:rsidP="005A6698">
      <w:pPr>
        <w:pStyle w:val="Ttulo3"/>
        <w:numPr>
          <w:ilvl w:val="1"/>
          <w:numId w:val="15"/>
        </w:numPr>
        <w:tabs>
          <w:tab w:val="left" w:pos="1341"/>
          <w:tab w:val="num" w:pos="1440"/>
        </w:tabs>
        <w:spacing w:before="234"/>
        <w:ind w:left="1440" w:hanging="360"/>
        <w:jc w:val="both"/>
        <w:rPr>
          <w:rFonts w:ascii="Garamond" w:eastAsia="Garamond" w:hAnsi="Garamond" w:cs="Garamond"/>
          <w:color w:val="auto"/>
        </w:rPr>
      </w:pPr>
      <w:r w:rsidRPr="004A3457">
        <w:rPr>
          <w:rFonts w:ascii="Garamond" w:eastAsia="Garamond" w:hAnsi="Garamond" w:cs="Garamond"/>
          <w:color w:val="auto"/>
        </w:rPr>
        <w:t>Histórico de compras de otras entidades</w:t>
      </w:r>
    </w:p>
    <w:p w14:paraId="59538FC3" w14:textId="77777777" w:rsidR="004051D4" w:rsidRPr="00BF757C" w:rsidRDefault="004051D4" w:rsidP="004051D4">
      <w:pPr>
        <w:pBdr>
          <w:top w:val="nil"/>
          <w:left w:val="nil"/>
          <w:bottom w:val="nil"/>
          <w:right w:val="nil"/>
          <w:between w:val="nil"/>
        </w:pBdr>
        <w:spacing w:before="246" w:line="235" w:lineRule="auto"/>
        <w:jc w:val="both"/>
        <w:rPr>
          <w:rFonts w:ascii="Garamond" w:eastAsia="Garamond" w:hAnsi="Garamond" w:cs="Garamond"/>
          <w:color w:val="000000"/>
        </w:rPr>
      </w:pPr>
      <w:r w:rsidRPr="00BF757C">
        <w:rPr>
          <w:rFonts w:ascii="Garamond" w:eastAsia="Garamond" w:hAnsi="Garamond" w:cs="Garamond"/>
          <w:color w:val="000000"/>
        </w:rPr>
        <w:t>Al realizar un análisis económico del sector, se puede emplear la información en otros procesos de contratación del mismo sector similares en su objeto, cuantía y tipo de contrato.</w:t>
      </w:r>
    </w:p>
    <w:p w14:paraId="75BF2021" w14:textId="77777777" w:rsidR="004051D4" w:rsidRPr="00BF757C" w:rsidRDefault="004051D4" w:rsidP="004051D4">
      <w:pPr>
        <w:ind w:left="6" w:right="7"/>
        <w:jc w:val="both"/>
        <w:rPr>
          <w:rFonts w:ascii="Garamond" w:eastAsia="Garamond" w:hAnsi="Garamond" w:cs="Garamond"/>
          <w:i/>
        </w:rPr>
      </w:pPr>
    </w:p>
    <w:p w14:paraId="40407F3C" w14:textId="77777777" w:rsidR="004051D4" w:rsidRPr="00BF757C" w:rsidRDefault="004051D4" w:rsidP="004051D4">
      <w:pPr>
        <w:ind w:left="6" w:right="7"/>
        <w:jc w:val="both"/>
        <w:rPr>
          <w:rFonts w:ascii="Garamond" w:eastAsia="Garamond" w:hAnsi="Garamond" w:cs="Garamond"/>
          <w:i/>
        </w:rPr>
      </w:pPr>
    </w:p>
    <w:p w14:paraId="055DF459" w14:textId="77777777" w:rsidR="004051D4" w:rsidRPr="00BF757C" w:rsidRDefault="004051D4" w:rsidP="004051D4">
      <w:pPr>
        <w:ind w:left="6" w:right="7"/>
        <w:jc w:val="both"/>
        <w:rPr>
          <w:rFonts w:ascii="Garamond" w:eastAsia="Garamond" w:hAnsi="Garamond" w:cs="Garamond"/>
          <w:i/>
        </w:rPr>
      </w:pPr>
      <w:r w:rsidRPr="00BF757C">
        <w:rPr>
          <w:rFonts w:ascii="Garamond" w:eastAsia="Garamond" w:hAnsi="Garamond" w:cs="Garamond"/>
          <w:i/>
        </w:rPr>
        <w:t>Tabla2. Histórico de compras de otras entidades</w:t>
      </w:r>
    </w:p>
    <w:p w14:paraId="00739BC1" w14:textId="77777777" w:rsidR="004051D4" w:rsidRPr="00BF757C" w:rsidRDefault="004051D4" w:rsidP="004051D4">
      <w:pPr>
        <w:ind w:left="6" w:right="7"/>
        <w:jc w:val="both"/>
        <w:rPr>
          <w:rFonts w:ascii="Garamond" w:eastAsia="Garamond" w:hAnsi="Garamond" w:cs="Garamond"/>
          <w:i/>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23"/>
        <w:gridCol w:w="1959"/>
        <w:gridCol w:w="2483"/>
        <w:gridCol w:w="1134"/>
        <w:gridCol w:w="1061"/>
        <w:gridCol w:w="1207"/>
      </w:tblGrid>
      <w:tr w:rsidR="004051D4" w:rsidRPr="00BF757C" w14:paraId="36A395C4" w14:textId="77777777" w:rsidTr="00535F3E">
        <w:trPr>
          <w:jc w:val="center"/>
        </w:trPr>
        <w:tc>
          <w:tcPr>
            <w:tcW w:w="1223" w:type="dxa"/>
          </w:tcPr>
          <w:p w14:paraId="6E2AEF09" w14:textId="77777777" w:rsidR="004051D4" w:rsidRPr="009B1ADC" w:rsidRDefault="004051D4" w:rsidP="005924F0">
            <w:pPr>
              <w:pBdr>
                <w:top w:val="nil"/>
                <w:left w:val="nil"/>
                <w:bottom w:val="nil"/>
                <w:right w:val="nil"/>
                <w:between w:val="nil"/>
              </w:pBdr>
              <w:jc w:val="both"/>
              <w:rPr>
                <w:rFonts w:ascii="Garamond" w:eastAsia="Garamond" w:hAnsi="Garamond" w:cs="Garamond"/>
                <w:b/>
                <w:sz w:val="20"/>
                <w:szCs w:val="20"/>
              </w:rPr>
            </w:pPr>
          </w:p>
          <w:p w14:paraId="002127C2" w14:textId="77777777" w:rsidR="004051D4" w:rsidRPr="009B1ADC" w:rsidRDefault="004051D4" w:rsidP="005924F0">
            <w:pPr>
              <w:pBdr>
                <w:top w:val="nil"/>
                <w:left w:val="nil"/>
                <w:bottom w:val="nil"/>
                <w:right w:val="nil"/>
                <w:between w:val="nil"/>
              </w:pBdr>
              <w:jc w:val="both"/>
              <w:rPr>
                <w:rFonts w:ascii="Garamond" w:eastAsia="Garamond" w:hAnsi="Garamond" w:cs="Garamond"/>
                <w:i/>
                <w:sz w:val="20"/>
                <w:szCs w:val="20"/>
              </w:rPr>
            </w:pPr>
            <w:r w:rsidRPr="009B1ADC">
              <w:rPr>
                <w:rFonts w:ascii="Garamond" w:eastAsia="Garamond" w:hAnsi="Garamond" w:cs="Garamond"/>
                <w:b/>
                <w:sz w:val="20"/>
                <w:szCs w:val="20"/>
              </w:rPr>
              <w:t>ENTIDAD</w:t>
            </w:r>
          </w:p>
        </w:tc>
        <w:tc>
          <w:tcPr>
            <w:tcW w:w="1959" w:type="dxa"/>
          </w:tcPr>
          <w:p w14:paraId="12FEE352" w14:textId="77777777" w:rsidR="004051D4" w:rsidRPr="009B1ADC" w:rsidRDefault="004051D4" w:rsidP="005924F0">
            <w:pPr>
              <w:pBdr>
                <w:top w:val="nil"/>
                <w:left w:val="nil"/>
                <w:bottom w:val="nil"/>
                <w:right w:val="nil"/>
                <w:between w:val="nil"/>
              </w:pBdr>
              <w:jc w:val="both"/>
              <w:rPr>
                <w:rFonts w:ascii="Garamond" w:eastAsia="Garamond" w:hAnsi="Garamond" w:cs="Garamond"/>
                <w:b/>
                <w:sz w:val="20"/>
                <w:szCs w:val="20"/>
              </w:rPr>
            </w:pPr>
          </w:p>
          <w:p w14:paraId="576369DA" w14:textId="77777777" w:rsidR="004051D4" w:rsidRPr="009B1ADC" w:rsidRDefault="004051D4" w:rsidP="005924F0">
            <w:pPr>
              <w:pBdr>
                <w:top w:val="nil"/>
                <w:left w:val="nil"/>
                <w:bottom w:val="nil"/>
                <w:right w:val="nil"/>
                <w:between w:val="nil"/>
              </w:pBdr>
              <w:jc w:val="both"/>
              <w:rPr>
                <w:rFonts w:ascii="Garamond" w:eastAsia="Garamond" w:hAnsi="Garamond" w:cs="Garamond"/>
                <w:i/>
                <w:sz w:val="20"/>
                <w:szCs w:val="20"/>
              </w:rPr>
            </w:pPr>
            <w:r w:rsidRPr="009B1ADC">
              <w:rPr>
                <w:rFonts w:ascii="Garamond" w:eastAsia="Garamond" w:hAnsi="Garamond" w:cs="Garamond"/>
                <w:b/>
                <w:sz w:val="20"/>
                <w:szCs w:val="20"/>
              </w:rPr>
              <w:t>REFERENCIA</w:t>
            </w:r>
          </w:p>
        </w:tc>
        <w:tc>
          <w:tcPr>
            <w:tcW w:w="2483" w:type="dxa"/>
          </w:tcPr>
          <w:p w14:paraId="1BE0A6B9" w14:textId="77777777" w:rsidR="004051D4" w:rsidRPr="009B1ADC" w:rsidRDefault="004051D4" w:rsidP="005924F0">
            <w:pPr>
              <w:pBdr>
                <w:top w:val="nil"/>
                <w:left w:val="nil"/>
                <w:bottom w:val="nil"/>
                <w:right w:val="nil"/>
                <w:between w:val="nil"/>
              </w:pBdr>
              <w:jc w:val="both"/>
              <w:rPr>
                <w:rFonts w:ascii="Garamond" w:eastAsia="Garamond" w:hAnsi="Garamond" w:cs="Garamond"/>
                <w:b/>
                <w:sz w:val="20"/>
                <w:szCs w:val="20"/>
              </w:rPr>
            </w:pPr>
          </w:p>
          <w:p w14:paraId="1468BAB0" w14:textId="77777777" w:rsidR="004051D4" w:rsidRPr="009B1ADC" w:rsidRDefault="004051D4" w:rsidP="005924F0">
            <w:pPr>
              <w:pBdr>
                <w:top w:val="nil"/>
                <w:left w:val="nil"/>
                <w:bottom w:val="nil"/>
                <w:right w:val="nil"/>
                <w:between w:val="nil"/>
              </w:pBdr>
              <w:jc w:val="both"/>
              <w:rPr>
                <w:rFonts w:ascii="Garamond" w:eastAsia="Garamond" w:hAnsi="Garamond" w:cs="Garamond"/>
                <w:i/>
                <w:sz w:val="20"/>
                <w:szCs w:val="20"/>
              </w:rPr>
            </w:pPr>
            <w:r w:rsidRPr="009B1ADC">
              <w:rPr>
                <w:rFonts w:ascii="Garamond" w:eastAsia="Garamond" w:hAnsi="Garamond" w:cs="Garamond"/>
                <w:b/>
                <w:sz w:val="20"/>
                <w:szCs w:val="20"/>
              </w:rPr>
              <w:t>DESCRIPCIÓN</w:t>
            </w:r>
          </w:p>
        </w:tc>
        <w:tc>
          <w:tcPr>
            <w:tcW w:w="1134" w:type="dxa"/>
          </w:tcPr>
          <w:p w14:paraId="10CE9D40" w14:textId="77777777" w:rsidR="004051D4" w:rsidRPr="009B1ADC" w:rsidRDefault="004051D4" w:rsidP="005924F0">
            <w:pPr>
              <w:pBdr>
                <w:top w:val="nil"/>
                <w:left w:val="nil"/>
                <w:bottom w:val="nil"/>
                <w:right w:val="nil"/>
                <w:between w:val="nil"/>
              </w:pBdr>
              <w:jc w:val="both"/>
              <w:rPr>
                <w:rFonts w:ascii="Garamond" w:eastAsia="Garamond" w:hAnsi="Garamond" w:cs="Garamond"/>
                <w:b/>
                <w:sz w:val="20"/>
                <w:szCs w:val="20"/>
              </w:rPr>
            </w:pPr>
          </w:p>
          <w:p w14:paraId="61735346" w14:textId="77777777" w:rsidR="004051D4" w:rsidRPr="009B1ADC" w:rsidRDefault="004051D4" w:rsidP="005924F0">
            <w:pPr>
              <w:pBdr>
                <w:top w:val="nil"/>
                <w:left w:val="nil"/>
                <w:bottom w:val="nil"/>
                <w:right w:val="nil"/>
                <w:between w:val="nil"/>
              </w:pBdr>
              <w:jc w:val="both"/>
              <w:rPr>
                <w:rFonts w:ascii="Garamond" w:eastAsia="Garamond" w:hAnsi="Garamond" w:cs="Garamond"/>
                <w:i/>
                <w:sz w:val="20"/>
                <w:szCs w:val="20"/>
              </w:rPr>
            </w:pPr>
            <w:r w:rsidRPr="009B1ADC">
              <w:rPr>
                <w:rFonts w:ascii="Garamond" w:eastAsia="Garamond" w:hAnsi="Garamond" w:cs="Garamond"/>
                <w:b/>
                <w:sz w:val="20"/>
                <w:szCs w:val="20"/>
              </w:rPr>
              <w:t>CUANTÍA</w:t>
            </w:r>
          </w:p>
        </w:tc>
        <w:tc>
          <w:tcPr>
            <w:tcW w:w="1061" w:type="dxa"/>
          </w:tcPr>
          <w:p w14:paraId="204E9905" w14:textId="77777777" w:rsidR="004051D4" w:rsidRPr="009B1ADC" w:rsidRDefault="004051D4" w:rsidP="005924F0">
            <w:pPr>
              <w:pBdr>
                <w:top w:val="nil"/>
                <w:left w:val="nil"/>
                <w:bottom w:val="nil"/>
                <w:right w:val="nil"/>
                <w:between w:val="nil"/>
              </w:pBdr>
              <w:spacing w:line="235" w:lineRule="auto"/>
              <w:jc w:val="both"/>
              <w:rPr>
                <w:rFonts w:ascii="Garamond" w:eastAsia="Garamond" w:hAnsi="Garamond" w:cs="Garamond"/>
                <w:b/>
                <w:sz w:val="20"/>
                <w:szCs w:val="20"/>
              </w:rPr>
            </w:pPr>
            <w:r w:rsidRPr="009B1ADC">
              <w:rPr>
                <w:rFonts w:ascii="Garamond" w:eastAsia="Garamond" w:hAnsi="Garamond" w:cs="Garamond"/>
                <w:b/>
                <w:sz w:val="20"/>
                <w:szCs w:val="20"/>
              </w:rPr>
              <w:t>PLAZO</w:t>
            </w:r>
          </w:p>
          <w:p w14:paraId="02512093" w14:textId="77777777" w:rsidR="004051D4" w:rsidRPr="009B1ADC" w:rsidRDefault="004051D4" w:rsidP="005924F0">
            <w:pPr>
              <w:pBdr>
                <w:top w:val="nil"/>
                <w:left w:val="nil"/>
                <w:bottom w:val="nil"/>
                <w:right w:val="nil"/>
                <w:between w:val="nil"/>
              </w:pBdr>
              <w:jc w:val="both"/>
              <w:rPr>
                <w:rFonts w:ascii="Garamond" w:eastAsia="Garamond" w:hAnsi="Garamond" w:cs="Garamond"/>
                <w:i/>
                <w:sz w:val="20"/>
                <w:szCs w:val="20"/>
              </w:rPr>
            </w:pPr>
            <w:r w:rsidRPr="009B1ADC">
              <w:rPr>
                <w:rFonts w:ascii="Garamond" w:eastAsia="Garamond" w:hAnsi="Garamond" w:cs="Garamond"/>
                <w:b/>
                <w:sz w:val="20"/>
                <w:szCs w:val="20"/>
              </w:rPr>
              <w:t>(MESES)</w:t>
            </w:r>
          </w:p>
        </w:tc>
        <w:tc>
          <w:tcPr>
            <w:tcW w:w="1207" w:type="dxa"/>
          </w:tcPr>
          <w:p w14:paraId="7D5B4D03" w14:textId="77777777" w:rsidR="004051D4" w:rsidRPr="009B1ADC" w:rsidRDefault="004051D4" w:rsidP="005924F0">
            <w:pPr>
              <w:pBdr>
                <w:top w:val="nil"/>
                <w:left w:val="nil"/>
                <w:bottom w:val="nil"/>
                <w:right w:val="nil"/>
                <w:between w:val="nil"/>
              </w:pBdr>
              <w:jc w:val="both"/>
              <w:rPr>
                <w:rFonts w:ascii="Garamond" w:eastAsia="Garamond" w:hAnsi="Garamond" w:cs="Garamond"/>
                <w:b/>
                <w:sz w:val="20"/>
                <w:szCs w:val="20"/>
              </w:rPr>
            </w:pPr>
          </w:p>
          <w:p w14:paraId="32A67357" w14:textId="77777777" w:rsidR="004051D4" w:rsidRPr="009B1ADC" w:rsidRDefault="004051D4" w:rsidP="005924F0">
            <w:pPr>
              <w:pBdr>
                <w:top w:val="nil"/>
                <w:left w:val="nil"/>
                <w:bottom w:val="nil"/>
                <w:right w:val="nil"/>
                <w:between w:val="nil"/>
              </w:pBdr>
              <w:jc w:val="both"/>
              <w:rPr>
                <w:rFonts w:ascii="Garamond" w:eastAsia="Garamond" w:hAnsi="Garamond" w:cs="Garamond"/>
                <w:i/>
                <w:sz w:val="20"/>
                <w:szCs w:val="20"/>
              </w:rPr>
            </w:pPr>
            <w:r w:rsidRPr="009B1ADC">
              <w:rPr>
                <w:rFonts w:ascii="Garamond" w:eastAsia="Garamond" w:hAnsi="Garamond" w:cs="Garamond"/>
                <w:b/>
                <w:sz w:val="20"/>
                <w:szCs w:val="20"/>
              </w:rPr>
              <w:t>ESTADO</w:t>
            </w:r>
          </w:p>
        </w:tc>
      </w:tr>
      <w:tr w:rsidR="004051D4" w:rsidRPr="00BF757C" w14:paraId="20852043" w14:textId="77777777" w:rsidTr="00535F3E">
        <w:trPr>
          <w:jc w:val="center"/>
        </w:trPr>
        <w:tc>
          <w:tcPr>
            <w:tcW w:w="1223" w:type="dxa"/>
          </w:tcPr>
          <w:p w14:paraId="3CB54CC8" w14:textId="77777777" w:rsidR="004051D4" w:rsidRPr="009B1ADC" w:rsidRDefault="004051D4" w:rsidP="005924F0">
            <w:pPr>
              <w:pBdr>
                <w:top w:val="nil"/>
                <w:left w:val="nil"/>
                <w:bottom w:val="nil"/>
                <w:right w:val="nil"/>
                <w:between w:val="nil"/>
              </w:pBdr>
              <w:tabs>
                <w:tab w:val="left" w:pos="1057"/>
              </w:tabs>
              <w:spacing w:line="232" w:lineRule="auto"/>
              <w:ind w:right="94"/>
              <w:jc w:val="both"/>
              <w:rPr>
                <w:rFonts w:ascii="Garamond" w:eastAsia="Garamond" w:hAnsi="Garamond" w:cs="Garamond"/>
              </w:rPr>
            </w:pPr>
            <w:r w:rsidRPr="009B1ADC">
              <w:rPr>
                <w:rFonts w:ascii="Garamond" w:eastAsia="Garamond" w:hAnsi="Garamond" w:cs="Garamond"/>
              </w:rPr>
              <w:t>Alcaldía Local de</w:t>
            </w:r>
          </w:p>
          <w:p w14:paraId="124F6090"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r w:rsidRPr="009B1ADC">
              <w:rPr>
                <w:rFonts w:ascii="Garamond" w:eastAsia="Garamond" w:hAnsi="Garamond" w:cs="Garamond"/>
              </w:rPr>
              <w:t>Usme</w:t>
            </w:r>
          </w:p>
        </w:tc>
        <w:tc>
          <w:tcPr>
            <w:tcW w:w="1959" w:type="dxa"/>
          </w:tcPr>
          <w:p w14:paraId="0A3827DE" w14:textId="77777777" w:rsidR="004051D4" w:rsidRPr="009B1ADC" w:rsidRDefault="004051D4" w:rsidP="005924F0">
            <w:pPr>
              <w:pBdr>
                <w:top w:val="nil"/>
                <w:left w:val="nil"/>
                <w:bottom w:val="nil"/>
                <w:right w:val="nil"/>
                <w:between w:val="nil"/>
              </w:pBdr>
              <w:jc w:val="both"/>
              <w:rPr>
                <w:rFonts w:ascii="Garamond" w:eastAsia="Garamond" w:hAnsi="Garamond" w:cs="Garamond"/>
              </w:rPr>
            </w:pPr>
          </w:p>
          <w:p w14:paraId="275E21ED"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r w:rsidRPr="009B1ADC">
              <w:rPr>
                <w:rFonts w:ascii="Garamond" w:hAnsi="Garamond" w:cs="Arial"/>
                <w:shd w:val="clear" w:color="auto" w:fill="FFFFFF"/>
              </w:rPr>
              <w:t>FDLU-SASI-048-2022</w:t>
            </w:r>
          </w:p>
        </w:tc>
        <w:tc>
          <w:tcPr>
            <w:tcW w:w="2483" w:type="dxa"/>
          </w:tcPr>
          <w:p w14:paraId="6148565D" w14:textId="77777777" w:rsidR="004051D4" w:rsidRPr="009B1ADC" w:rsidRDefault="004051D4" w:rsidP="005924F0">
            <w:pPr>
              <w:pBdr>
                <w:top w:val="nil"/>
                <w:left w:val="nil"/>
                <w:bottom w:val="nil"/>
                <w:right w:val="nil"/>
                <w:between w:val="nil"/>
              </w:pBdr>
              <w:ind w:left="106"/>
              <w:jc w:val="both"/>
              <w:rPr>
                <w:rFonts w:ascii="Garamond" w:eastAsia="Garamond" w:hAnsi="Garamond" w:cs="Garamond"/>
              </w:rPr>
            </w:pPr>
            <w:r w:rsidRPr="009B1ADC">
              <w:rPr>
                <w:rFonts w:ascii="Garamond" w:eastAsia="Garamond" w:hAnsi="Garamond" w:cs="Garamond"/>
              </w:rPr>
              <w:t>Dotación Juntas de Acción Comunal</w:t>
            </w:r>
          </w:p>
        </w:tc>
        <w:tc>
          <w:tcPr>
            <w:tcW w:w="1134" w:type="dxa"/>
          </w:tcPr>
          <w:p w14:paraId="2F2622C0"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p>
          <w:p w14:paraId="650FE7FB"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r w:rsidRPr="009B1ADC">
              <w:rPr>
                <w:rFonts w:ascii="Garamond" w:hAnsi="Garamond" w:cs="Arial"/>
                <w:shd w:val="clear" w:color="auto" w:fill="FFFFFF"/>
              </w:rPr>
              <w:t>180.553.000 COP</w:t>
            </w:r>
          </w:p>
        </w:tc>
        <w:tc>
          <w:tcPr>
            <w:tcW w:w="1061" w:type="dxa"/>
          </w:tcPr>
          <w:p w14:paraId="2E4365EC" w14:textId="77777777" w:rsidR="004051D4" w:rsidRPr="009B1ADC" w:rsidRDefault="004051D4" w:rsidP="005924F0">
            <w:pPr>
              <w:pBdr>
                <w:top w:val="nil"/>
                <w:left w:val="nil"/>
                <w:bottom w:val="nil"/>
                <w:right w:val="nil"/>
                <w:between w:val="nil"/>
              </w:pBdr>
              <w:spacing w:line="235" w:lineRule="auto"/>
              <w:jc w:val="both"/>
              <w:rPr>
                <w:rFonts w:ascii="Garamond" w:eastAsia="Garamond" w:hAnsi="Garamond" w:cs="Garamond"/>
                <w:b/>
              </w:rPr>
            </w:pPr>
          </w:p>
          <w:p w14:paraId="6AA9CB20" w14:textId="77777777" w:rsidR="004051D4" w:rsidRPr="009B1ADC" w:rsidRDefault="004051D4" w:rsidP="005924F0">
            <w:pPr>
              <w:pBdr>
                <w:top w:val="nil"/>
                <w:left w:val="nil"/>
                <w:bottom w:val="nil"/>
                <w:right w:val="nil"/>
                <w:between w:val="nil"/>
              </w:pBdr>
              <w:spacing w:line="235" w:lineRule="auto"/>
              <w:jc w:val="both"/>
              <w:rPr>
                <w:rFonts w:ascii="Garamond" w:eastAsia="Garamond" w:hAnsi="Garamond" w:cs="Garamond"/>
              </w:rPr>
            </w:pPr>
            <w:r w:rsidRPr="009B1ADC">
              <w:rPr>
                <w:rFonts w:ascii="Garamond" w:eastAsia="Garamond" w:hAnsi="Garamond" w:cs="Garamond"/>
              </w:rPr>
              <w:t>4 (meses)</w:t>
            </w:r>
          </w:p>
        </w:tc>
        <w:tc>
          <w:tcPr>
            <w:tcW w:w="1207" w:type="dxa"/>
          </w:tcPr>
          <w:p w14:paraId="0EE273E7"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r w:rsidRPr="009B1ADC">
              <w:rPr>
                <w:rFonts w:ascii="Garamond" w:eastAsia="Garamond" w:hAnsi="Garamond" w:cs="Garamond"/>
              </w:rPr>
              <w:t>Proceso adjudicado y celebrado</w:t>
            </w:r>
          </w:p>
        </w:tc>
      </w:tr>
      <w:tr w:rsidR="004051D4" w:rsidRPr="00BF757C" w14:paraId="4C69ACE8" w14:textId="77777777" w:rsidTr="00535F3E">
        <w:trPr>
          <w:jc w:val="center"/>
        </w:trPr>
        <w:tc>
          <w:tcPr>
            <w:tcW w:w="1223" w:type="dxa"/>
          </w:tcPr>
          <w:p w14:paraId="2E337EC9" w14:textId="77777777" w:rsidR="004051D4" w:rsidRPr="009B1ADC" w:rsidRDefault="004051D4" w:rsidP="005924F0">
            <w:pPr>
              <w:pBdr>
                <w:top w:val="nil"/>
                <w:left w:val="nil"/>
                <w:bottom w:val="nil"/>
                <w:right w:val="nil"/>
                <w:between w:val="nil"/>
              </w:pBdr>
              <w:tabs>
                <w:tab w:val="left" w:pos="1057"/>
              </w:tabs>
              <w:spacing w:line="232" w:lineRule="auto"/>
              <w:ind w:right="94"/>
              <w:jc w:val="both"/>
              <w:rPr>
                <w:rFonts w:ascii="Garamond" w:eastAsia="Garamond" w:hAnsi="Garamond" w:cs="Garamond"/>
              </w:rPr>
            </w:pPr>
            <w:r w:rsidRPr="009B1ADC">
              <w:rPr>
                <w:rFonts w:ascii="Garamond" w:eastAsia="Garamond" w:hAnsi="Garamond" w:cs="Garamond"/>
              </w:rPr>
              <w:t>Alcaldía Local de</w:t>
            </w:r>
          </w:p>
          <w:p w14:paraId="0893B3B3"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r w:rsidRPr="009B1ADC">
              <w:rPr>
                <w:rFonts w:ascii="Garamond" w:eastAsia="Garamond" w:hAnsi="Garamond" w:cs="Garamond"/>
              </w:rPr>
              <w:t>Usme</w:t>
            </w:r>
          </w:p>
        </w:tc>
        <w:tc>
          <w:tcPr>
            <w:tcW w:w="1959" w:type="dxa"/>
          </w:tcPr>
          <w:p w14:paraId="256182DD" w14:textId="77777777" w:rsidR="004051D4" w:rsidRPr="009B1ADC" w:rsidRDefault="004051D4" w:rsidP="005924F0">
            <w:pPr>
              <w:pBdr>
                <w:top w:val="nil"/>
                <w:left w:val="nil"/>
                <w:bottom w:val="nil"/>
                <w:right w:val="nil"/>
                <w:between w:val="nil"/>
              </w:pBdr>
              <w:jc w:val="both"/>
              <w:rPr>
                <w:rFonts w:ascii="Garamond" w:hAnsi="Garamond" w:cs="Arial"/>
                <w:shd w:val="clear" w:color="auto" w:fill="FFFFFF"/>
              </w:rPr>
            </w:pPr>
            <w:r w:rsidRPr="009B1ADC">
              <w:rPr>
                <w:rFonts w:ascii="Garamond" w:hAnsi="Garamond" w:cs="Arial"/>
                <w:shd w:val="clear" w:color="auto" w:fill="FFFFFF"/>
              </w:rPr>
              <w:t>FDLU-SASI-041-2021</w:t>
            </w:r>
          </w:p>
          <w:p w14:paraId="28E631E7"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p>
        </w:tc>
        <w:tc>
          <w:tcPr>
            <w:tcW w:w="2483" w:type="dxa"/>
          </w:tcPr>
          <w:p w14:paraId="221527B0" w14:textId="77777777" w:rsidR="004051D4" w:rsidRPr="009B1ADC" w:rsidRDefault="004051D4" w:rsidP="005924F0">
            <w:pPr>
              <w:pBdr>
                <w:top w:val="nil"/>
                <w:left w:val="nil"/>
                <w:bottom w:val="nil"/>
                <w:right w:val="nil"/>
                <w:between w:val="nil"/>
              </w:pBdr>
              <w:ind w:left="106"/>
              <w:jc w:val="both"/>
              <w:rPr>
                <w:rFonts w:ascii="Garamond" w:eastAsia="Garamond" w:hAnsi="Garamond" w:cs="Garamond"/>
              </w:rPr>
            </w:pPr>
            <w:r w:rsidRPr="009B1ADC">
              <w:rPr>
                <w:rFonts w:ascii="Garamond" w:eastAsia="Garamond" w:hAnsi="Garamond" w:cs="Garamond"/>
              </w:rPr>
              <w:t>Dotación Juntas de Acción Comunal</w:t>
            </w:r>
          </w:p>
        </w:tc>
        <w:tc>
          <w:tcPr>
            <w:tcW w:w="1134" w:type="dxa"/>
          </w:tcPr>
          <w:p w14:paraId="20A04A54" w14:textId="77777777" w:rsidR="004051D4" w:rsidRPr="009B1ADC" w:rsidRDefault="004051D4" w:rsidP="005924F0">
            <w:pPr>
              <w:pBdr>
                <w:top w:val="nil"/>
                <w:left w:val="nil"/>
                <w:bottom w:val="nil"/>
                <w:right w:val="nil"/>
                <w:between w:val="nil"/>
              </w:pBdr>
              <w:jc w:val="both"/>
              <w:rPr>
                <w:rFonts w:ascii="Garamond" w:hAnsi="Garamond" w:cs="Arial"/>
                <w:shd w:val="clear" w:color="auto" w:fill="FFFFFF"/>
              </w:rPr>
            </w:pPr>
            <w:r w:rsidRPr="009B1ADC">
              <w:rPr>
                <w:rFonts w:ascii="Garamond" w:hAnsi="Garamond" w:cs="Arial"/>
                <w:shd w:val="clear" w:color="auto" w:fill="FFFFFF"/>
              </w:rPr>
              <w:t xml:space="preserve">155.998.000 COP </w:t>
            </w:r>
          </w:p>
          <w:p w14:paraId="4050459E"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p>
        </w:tc>
        <w:tc>
          <w:tcPr>
            <w:tcW w:w="1061" w:type="dxa"/>
          </w:tcPr>
          <w:p w14:paraId="628B94B7" w14:textId="77777777" w:rsidR="004051D4" w:rsidRPr="009B1ADC" w:rsidRDefault="004051D4" w:rsidP="005924F0">
            <w:pPr>
              <w:pBdr>
                <w:top w:val="nil"/>
                <w:left w:val="nil"/>
                <w:bottom w:val="nil"/>
                <w:right w:val="nil"/>
                <w:between w:val="nil"/>
              </w:pBdr>
              <w:spacing w:line="235" w:lineRule="auto"/>
              <w:jc w:val="both"/>
              <w:rPr>
                <w:rFonts w:ascii="Garamond" w:eastAsia="Garamond" w:hAnsi="Garamond" w:cs="Garamond"/>
                <w:b/>
              </w:rPr>
            </w:pPr>
            <w:r w:rsidRPr="009B1ADC">
              <w:rPr>
                <w:rStyle w:val="vortalspan"/>
                <w:rFonts w:ascii="Garamond" w:hAnsi="Garamond" w:cs="Arial"/>
                <w:shd w:val="clear" w:color="auto" w:fill="FFFFFF"/>
              </w:rPr>
              <w:t xml:space="preserve">3         </w:t>
            </w:r>
            <w:proofErr w:type="gramStart"/>
            <w:r w:rsidRPr="009B1ADC">
              <w:rPr>
                <w:rStyle w:val="vortalspan"/>
                <w:rFonts w:ascii="Garamond" w:hAnsi="Garamond" w:cs="Arial"/>
                <w:shd w:val="clear" w:color="auto" w:fill="FFFFFF"/>
              </w:rPr>
              <w:t xml:space="preserve">   (</w:t>
            </w:r>
            <w:proofErr w:type="gramEnd"/>
            <w:r w:rsidRPr="009B1ADC">
              <w:rPr>
                <w:rStyle w:val="vortalspan"/>
                <w:rFonts w:ascii="Garamond" w:hAnsi="Garamond" w:cs="Arial"/>
                <w:shd w:val="clear" w:color="auto" w:fill="FFFFFF"/>
              </w:rPr>
              <w:t>Meses)</w:t>
            </w:r>
          </w:p>
        </w:tc>
        <w:tc>
          <w:tcPr>
            <w:tcW w:w="1207" w:type="dxa"/>
          </w:tcPr>
          <w:p w14:paraId="1FD513EA" w14:textId="77777777" w:rsidR="004051D4" w:rsidRPr="009B1ADC" w:rsidRDefault="004051D4" w:rsidP="005924F0">
            <w:pPr>
              <w:pBdr>
                <w:top w:val="nil"/>
                <w:left w:val="nil"/>
                <w:bottom w:val="nil"/>
                <w:right w:val="nil"/>
                <w:between w:val="nil"/>
              </w:pBdr>
              <w:jc w:val="both"/>
              <w:rPr>
                <w:rFonts w:ascii="Garamond" w:eastAsia="Garamond" w:hAnsi="Garamond" w:cs="Garamond"/>
                <w:b/>
              </w:rPr>
            </w:pPr>
            <w:r w:rsidRPr="009B1ADC">
              <w:rPr>
                <w:rFonts w:ascii="Garamond" w:eastAsia="Garamond" w:hAnsi="Garamond" w:cs="Garamond"/>
              </w:rPr>
              <w:t>Proceso adjudicado y celebrado</w:t>
            </w:r>
          </w:p>
        </w:tc>
      </w:tr>
      <w:tr w:rsidR="004051D4" w:rsidRPr="00BF757C" w14:paraId="6030EFD0" w14:textId="77777777" w:rsidTr="00535F3E">
        <w:trPr>
          <w:jc w:val="center"/>
        </w:trPr>
        <w:tc>
          <w:tcPr>
            <w:tcW w:w="1223" w:type="dxa"/>
          </w:tcPr>
          <w:p w14:paraId="0D1B2344" w14:textId="77777777" w:rsidR="004051D4" w:rsidRPr="009B1ADC" w:rsidRDefault="004051D4" w:rsidP="005924F0">
            <w:pPr>
              <w:pBdr>
                <w:top w:val="nil"/>
                <w:left w:val="nil"/>
                <w:bottom w:val="nil"/>
                <w:right w:val="nil"/>
                <w:between w:val="nil"/>
              </w:pBdr>
              <w:tabs>
                <w:tab w:val="left" w:pos="1057"/>
              </w:tabs>
              <w:spacing w:line="232" w:lineRule="auto"/>
              <w:ind w:right="94"/>
              <w:jc w:val="both"/>
              <w:rPr>
                <w:rFonts w:ascii="Garamond" w:eastAsia="Garamond" w:hAnsi="Garamond" w:cs="Garamond"/>
              </w:rPr>
            </w:pPr>
            <w:r w:rsidRPr="009B1ADC">
              <w:rPr>
                <w:rFonts w:ascii="Garamond" w:eastAsia="Garamond" w:hAnsi="Garamond" w:cs="Garamond"/>
              </w:rPr>
              <w:t>Alcaldía Local de</w:t>
            </w:r>
          </w:p>
          <w:p w14:paraId="65249927" w14:textId="77777777" w:rsidR="004051D4" w:rsidRPr="009B1ADC" w:rsidRDefault="004051D4" w:rsidP="005924F0">
            <w:pPr>
              <w:pBdr>
                <w:top w:val="nil"/>
                <w:left w:val="nil"/>
                <w:bottom w:val="nil"/>
                <w:right w:val="nil"/>
                <w:between w:val="nil"/>
              </w:pBdr>
              <w:spacing w:before="10"/>
              <w:jc w:val="both"/>
              <w:rPr>
                <w:rFonts w:ascii="Garamond" w:eastAsia="Garamond" w:hAnsi="Garamond" w:cs="Garamond"/>
                <w:i/>
              </w:rPr>
            </w:pPr>
            <w:r w:rsidRPr="009B1ADC">
              <w:rPr>
                <w:rFonts w:ascii="Garamond" w:eastAsia="Garamond" w:hAnsi="Garamond" w:cs="Garamond"/>
              </w:rPr>
              <w:t>Antonio Nariño</w:t>
            </w:r>
          </w:p>
        </w:tc>
        <w:tc>
          <w:tcPr>
            <w:tcW w:w="1959" w:type="dxa"/>
          </w:tcPr>
          <w:p w14:paraId="481468E0" w14:textId="77777777" w:rsidR="004051D4" w:rsidRPr="009B1ADC" w:rsidRDefault="004051D4" w:rsidP="005924F0">
            <w:pPr>
              <w:pBdr>
                <w:top w:val="nil"/>
                <w:left w:val="nil"/>
                <w:bottom w:val="nil"/>
                <w:right w:val="nil"/>
                <w:between w:val="nil"/>
              </w:pBdr>
              <w:spacing w:before="10"/>
              <w:jc w:val="both"/>
              <w:rPr>
                <w:rFonts w:ascii="Garamond" w:hAnsi="Garamond" w:cs="Arial"/>
                <w:shd w:val="clear" w:color="auto" w:fill="FFFFFF"/>
              </w:rPr>
            </w:pPr>
            <w:r w:rsidRPr="009B1ADC">
              <w:rPr>
                <w:rFonts w:ascii="Garamond" w:hAnsi="Garamond" w:cs="Arial"/>
                <w:shd w:val="clear" w:color="auto" w:fill="FFFFFF"/>
              </w:rPr>
              <w:t>FDLAN-SASI-007-2023</w:t>
            </w:r>
          </w:p>
          <w:p w14:paraId="52082EF1" w14:textId="77777777" w:rsidR="004051D4" w:rsidRPr="009B1ADC" w:rsidRDefault="004051D4" w:rsidP="005924F0">
            <w:pPr>
              <w:pBdr>
                <w:top w:val="nil"/>
                <w:left w:val="nil"/>
                <w:bottom w:val="nil"/>
                <w:right w:val="nil"/>
                <w:between w:val="nil"/>
              </w:pBdr>
              <w:spacing w:before="10"/>
              <w:jc w:val="both"/>
              <w:rPr>
                <w:rFonts w:ascii="Garamond" w:eastAsia="Garamond" w:hAnsi="Garamond" w:cs="Garamond"/>
              </w:rPr>
            </w:pPr>
          </w:p>
        </w:tc>
        <w:tc>
          <w:tcPr>
            <w:tcW w:w="2483" w:type="dxa"/>
          </w:tcPr>
          <w:p w14:paraId="1EFDBE07" w14:textId="77777777" w:rsidR="004051D4" w:rsidRPr="009B1ADC" w:rsidRDefault="004051D4" w:rsidP="004A3457">
            <w:pPr>
              <w:pBdr>
                <w:top w:val="nil"/>
                <w:left w:val="nil"/>
                <w:bottom w:val="nil"/>
                <w:right w:val="nil"/>
                <w:between w:val="nil"/>
              </w:pBdr>
              <w:tabs>
                <w:tab w:val="left" w:pos="1541"/>
                <w:tab w:val="left" w:pos="1572"/>
              </w:tabs>
              <w:ind w:left="107" w:right="95"/>
              <w:jc w:val="center"/>
              <w:rPr>
                <w:rFonts w:ascii="Garamond" w:eastAsia="Garamond" w:hAnsi="Garamond" w:cs="Garamond"/>
                <w:i/>
              </w:rPr>
            </w:pPr>
            <w:r w:rsidRPr="009B1ADC">
              <w:rPr>
                <w:rFonts w:ascii="Garamond" w:eastAsia="Garamond" w:hAnsi="Garamond" w:cs="Garamond"/>
              </w:rPr>
              <w:t>Dotación Juntas de Acción Comunal</w:t>
            </w:r>
          </w:p>
        </w:tc>
        <w:tc>
          <w:tcPr>
            <w:tcW w:w="1134" w:type="dxa"/>
          </w:tcPr>
          <w:p w14:paraId="076FCA4B" w14:textId="77777777" w:rsidR="004051D4" w:rsidRPr="009B1ADC" w:rsidRDefault="004051D4" w:rsidP="005924F0">
            <w:pPr>
              <w:pBdr>
                <w:top w:val="nil"/>
                <w:left w:val="nil"/>
                <w:bottom w:val="nil"/>
                <w:right w:val="nil"/>
                <w:between w:val="nil"/>
              </w:pBdr>
              <w:spacing w:before="10"/>
              <w:jc w:val="both"/>
              <w:rPr>
                <w:rFonts w:ascii="Garamond" w:eastAsia="Garamond" w:hAnsi="Garamond" w:cs="Garamond"/>
                <w:bCs/>
              </w:rPr>
            </w:pPr>
            <w:r w:rsidRPr="009B1ADC">
              <w:rPr>
                <w:rFonts w:ascii="Garamond" w:eastAsia="Garamond" w:hAnsi="Garamond" w:cs="Garamond"/>
                <w:bCs/>
              </w:rPr>
              <w:t>97.267.747 COP</w:t>
            </w:r>
          </w:p>
          <w:p w14:paraId="66B0581D" w14:textId="77777777" w:rsidR="004051D4" w:rsidRPr="009B1ADC" w:rsidRDefault="004051D4" w:rsidP="005924F0">
            <w:pPr>
              <w:pBdr>
                <w:top w:val="nil"/>
                <w:left w:val="nil"/>
                <w:bottom w:val="nil"/>
                <w:right w:val="nil"/>
                <w:between w:val="nil"/>
              </w:pBdr>
              <w:spacing w:before="10"/>
              <w:jc w:val="both"/>
              <w:rPr>
                <w:rFonts w:ascii="Garamond" w:eastAsia="Garamond" w:hAnsi="Garamond" w:cs="Garamond"/>
                <w:bCs/>
                <w:i/>
              </w:rPr>
            </w:pPr>
          </w:p>
        </w:tc>
        <w:tc>
          <w:tcPr>
            <w:tcW w:w="1061" w:type="dxa"/>
          </w:tcPr>
          <w:p w14:paraId="16314B92" w14:textId="77777777" w:rsidR="004051D4" w:rsidRPr="009B1ADC" w:rsidRDefault="004051D4" w:rsidP="005924F0">
            <w:pPr>
              <w:pBdr>
                <w:top w:val="nil"/>
                <w:left w:val="nil"/>
                <w:bottom w:val="nil"/>
                <w:right w:val="nil"/>
                <w:between w:val="nil"/>
              </w:pBdr>
              <w:spacing w:before="10"/>
              <w:jc w:val="both"/>
              <w:rPr>
                <w:rFonts w:ascii="Garamond" w:eastAsia="Garamond" w:hAnsi="Garamond" w:cs="Garamond"/>
                <w:i/>
              </w:rPr>
            </w:pPr>
            <w:r w:rsidRPr="009B1ADC">
              <w:rPr>
                <w:rStyle w:val="vortalspan"/>
                <w:rFonts w:ascii="Garamond" w:hAnsi="Garamond" w:cs="Arial"/>
                <w:shd w:val="clear" w:color="auto" w:fill="FFFFFF"/>
              </w:rPr>
              <w:t xml:space="preserve">3         </w:t>
            </w:r>
            <w:proofErr w:type="gramStart"/>
            <w:r w:rsidRPr="009B1ADC">
              <w:rPr>
                <w:rStyle w:val="vortalspan"/>
                <w:rFonts w:ascii="Garamond" w:hAnsi="Garamond" w:cs="Arial"/>
                <w:shd w:val="clear" w:color="auto" w:fill="FFFFFF"/>
              </w:rPr>
              <w:t xml:space="preserve">   (</w:t>
            </w:r>
            <w:proofErr w:type="gramEnd"/>
            <w:r w:rsidRPr="009B1ADC">
              <w:rPr>
                <w:rStyle w:val="vortalspan"/>
                <w:rFonts w:ascii="Garamond" w:hAnsi="Garamond" w:cs="Arial"/>
                <w:shd w:val="clear" w:color="auto" w:fill="FFFFFF"/>
              </w:rPr>
              <w:t>Semanas)</w:t>
            </w:r>
          </w:p>
        </w:tc>
        <w:tc>
          <w:tcPr>
            <w:tcW w:w="1207" w:type="dxa"/>
          </w:tcPr>
          <w:p w14:paraId="7C2CDD41" w14:textId="77777777" w:rsidR="004051D4" w:rsidRPr="009B1ADC" w:rsidRDefault="004051D4" w:rsidP="005924F0">
            <w:pPr>
              <w:pBdr>
                <w:top w:val="nil"/>
                <w:left w:val="nil"/>
                <w:bottom w:val="nil"/>
                <w:right w:val="nil"/>
                <w:between w:val="nil"/>
              </w:pBdr>
              <w:spacing w:line="232" w:lineRule="auto"/>
              <w:jc w:val="both"/>
              <w:rPr>
                <w:rFonts w:ascii="Garamond" w:eastAsia="Garamond" w:hAnsi="Garamond" w:cs="Garamond"/>
                <w:i/>
              </w:rPr>
            </w:pPr>
            <w:r w:rsidRPr="009B1ADC">
              <w:rPr>
                <w:rFonts w:ascii="Garamond" w:eastAsia="Garamond" w:hAnsi="Garamond" w:cs="Garamond"/>
              </w:rPr>
              <w:t>Proceso adjudicado y celebrado</w:t>
            </w:r>
          </w:p>
        </w:tc>
      </w:tr>
      <w:tr w:rsidR="004051D4" w:rsidRPr="00BF757C" w14:paraId="4ACEF981" w14:textId="77777777" w:rsidTr="00535F3E">
        <w:trPr>
          <w:jc w:val="center"/>
        </w:trPr>
        <w:tc>
          <w:tcPr>
            <w:tcW w:w="1223" w:type="dxa"/>
          </w:tcPr>
          <w:p w14:paraId="506CD94D" w14:textId="77777777" w:rsidR="004051D4" w:rsidRPr="009B1ADC" w:rsidRDefault="004051D4" w:rsidP="005924F0">
            <w:pPr>
              <w:pBdr>
                <w:top w:val="nil"/>
                <w:left w:val="nil"/>
                <w:bottom w:val="nil"/>
                <w:right w:val="nil"/>
                <w:between w:val="nil"/>
              </w:pBdr>
              <w:tabs>
                <w:tab w:val="left" w:pos="1057"/>
              </w:tabs>
              <w:spacing w:line="232" w:lineRule="auto"/>
              <w:ind w:right="94"/>
              <w:jc w:val="both"/>
              <w:rPr>
                <w:rFonts w:ascii="Garamond" w:eastAsia="Garamond" w:hAnsi="Garamond" w:cs="Garamond"/>
              </w:rPr>
            </w:pPr>
            <w:r w:rsidRPr="009B1ADC">
              <w:rPr>
                <w:rFonts w:ascii="Garamond" w:eastAsia="Garamond" w:hAnsi="Garamond" w:cs="Garamond"/>
              </w:rPr>
              <w:t>Alcaldía Local de</w:t>
            </w:r>
          </w:p>
          <w:p w14:paraId="7AD93789" w14:textId="77777777" w:rsidR="004051D4" w:rsidRPr="009B1ADC" w:rsidRDefault="004051D4" w:rsidP="005924F0">
            <w:pPr>
              <w:pBdr>
                <w:top w:val="nil"/>
                <w:left w:val="nil"/>
                <w:bottom w:val="nil"/>
                <w:right w:val="nil"/>
                <w:between w:val="nil"/>
              </w:pBdr>
              <w:tabs>
                <w:tab w:val="left" w:pos="1057"/>
              </w:tabs>
              <w:spacing w:line="232" w:lineRule="auto"/>
              <w:ind w:right="94"/>
              <w:jc w:val="both"/>
              <w:rPr>
                <w:rFonts w:ascii="Garamond" w:eastAsia="Garamond" w:hAnsi="Garamond" w:cs="Garamond"/>
              </w:rPr>
            </w:pPr>
            <w:r w:rsidRPr="009B1ADC">
              <w:rPr>
                <w:rFonts w:ascii="Garamond" w:eastAsia="Garamond" w:hAnsi="Garamond" w:cs="Garamond"/>
              </w:rPr>
              <w:t>Usaquén</w:t>
            </w:r>
          </w:p>
        </w:tc>
        <w:tc>
          <w:tcPr>
            <w:tcW w:w="1959" w:type="dxa"/>
          </w:tcPr>
          <w:p w14:paraId="7A34776E" w14:textId="77777777" w:rsidR="004051D4" w:rsidRPr="009B1ADC" w:rsidRDefault="004051D4" w:rsidP="005924F0">
            <w:pPr>
              <w:pBdr>
                <w:top w:val="nil"/>
                <w:left w:val="nil"/>
                <w:bottom w:val="nil"/>
                <w:right w:val="nil"/>
                <w:between w:val="nil"/>
              </w:pBdr>
              <w:spacing w:before="10"/>
              <w:jc w:val="both"/>
              <w:rPr>
                <w:rFonts w:ascii="Garamond" w:hAnsi="Garamond" w:cs="Arial"/>
                <w:shd w:val="clear" w:color="auto" w:fill="CCCCCC"/>
              </w:rPr>
            </w:pPr>
            <w:r w:rsidRPr="009B1ADC">
              <w:rPr>
                <w:rFonts w:ascii="Garamond" w:hAnsi="Garamond" w:cs="Arial"/>
                <w:shd w:val="clear" w:color="auto" w:fill="FFFFFF"/>
              </w:rPr>
              <w:t>FDLUSA-SASI-007-2023</w:t>
            </w:r>
          </w:p>
        </w:tc>
        <w:tc>
          <w:tcPr>
            <w:tcW w:w="2483" w:type="dxa"/>
          </w:tcPr>
          <w:p w14:paraId="49D6B01F" w14:textId="77777777" w:rsidR="004051D4" w:rsidRPr="009B1ADC" w:rsidRDefault="004051D4" w:rsidP="005924F0">
            <w:pPr>
              <w:pBdr>
                <w:top w:val="nil"/>
                <w:left w:val="nil"/>
                <w:bottom w:val="nil"/>
                <w:right w:val="nil"/>
                <w:between w:val="nil"/>
              </w:pBdr>
              <w:tabs>
                <w:tab w:val="left" w:pos="1541"/>
                <w:tab w:val="left" w:pos="1572"/>
              </w:tabs>
              <w:ind w:left="107" w:right="95"/>
              <w:jc w:val="both"/>
              <w:rPr>
                <w:rFonts w:ascii="Garamond" w:eastAsia="Garamond" w:hAnsi="Garamond" w:cs="Garamond"/>
              </w:rPr>
            </w:pPr>
            <w:r w:rsidRPr="009B1ADC">
              <w:rPr>
                <w:rFonts w:ascii="Garamond" w:eastAsia="Garamond" w:hAnsi="Garamond" w:cs="Garamond"/>
              </w:rPr>
              <w:t>Dotación Juntas de Acción Comunal</w:t>
            </w:r>
          </w:p>
        </w:tc>
        <w:tc>
          <w:tcPr>
            <w:tcW w:w="1134" w:type="dxa"/>
          </w:tcPr>
          <w:p w14:paraId="4C2F6429" w14:textId="77777777" w:rsidR="004051D4" w:rsidRPr="009B1ADC" w:rsidRDefault="004051D4" w:rsidP="005924F0">
            <w:pPr>
              <w:pBdr>
                <w:top w:val="nil"/>
                <w:left w:val="nil"/>
                <w:bottom w:val="nil"/>
                <w:right w:val="nil"/>
                <w:between w:val="nil"/>
              </w:pBdr>
              <w:spacing w:before="10"/>
              <w:jc w:val="both"/>
              <w:rPr>
                <w:rFonts w:ascii="Garamond" w:hAnsi="Garamond" w:cs="Arial"/>
                <w:shd w:val="clear" w:color="auto" w:fill="CCCCCC"/>
              </w:rPr>
            </w:pPr>
            <w:r w:rsidRPr="009B1ADC">
              <w:rPr>
                <w:rFonts w:ascii="Garamond" w:eastAsia="Garamond" w:hAnsi="Garamond" w:cs="Garamond"/>
                <w:bCs/>
              </w:rPr>
              <w:t>219.526.174 COP</w:t>
            </w:r>
          </w:p>
        </w:tc>
        <w:tc>
          <w:tcPr>
            <w:tcW w:w="1061" w:type="dxa"/>
          </w:tcPr>
          <w:p w14:paraId="51225CFF" w14:textId="77777777" w:rsidR="004051D4" w:rsidRPr="009B1ADC" w:rsidRDefault="004051D4" w:rsidP="005924F0">
            <w:pPr>
              <w:pBdr>
                <w:top w:val="nil"/>
                <w:left w:val="nil"/>
                <w:bottom w:val="nil"/>
                <w:right w:val="nil"/>
                <w:between w:val="nil"/>
              </w:pBdr>
              <w:spacing w:before="10"/>
              <w:jc w:val="both"/>
              <w:rPr>
                <w:rStyle w:val="vortalspan"/>
                <w:rFonts w:ascii="Garamond" w:hAnsi="Garamond" w:cs="Arial"/>
                <w:shd w:val="clear" w:color="auto" w:fill="FFFFFF"/>
              </w:rPr>
            </w:pPr>
            <w:r w:rsidRPr="009B1ADC">
              <w:rPr>
                <w:rStyle w:val="vortalspan"/>
                <w:rFonts w:ascii="Garamond" w:hAnsi="Garamond" w:cs="Arial"/>
                <w:shd w:val="clear" w:color="auto" w:fill="FFFFFF"/>
              </w:rPr>
              <w:t xml:space="preserve">3         </w:t>
            </w:r>
            <w:proofErr w:type="gramStart"/>
            <w:r w:rsidRPr="009B1ADC">
              <w:rPr>
                <w:rStyle w:val="vortalspan"/>
                <w:rFonts w:ascii="Garamond" w:hAnsi="Garamond" w:cs="Arial"/>
                <w:shd w:val="clear" w:color="auto" w:fill="FFFFFF"/>
              </w:rPr>
              <w:t xml:space="preserve">   (</w:t>
            </w:r>
            <w:proofErr w:type="gramEnd"/>
            <w:r w:rsidRPr="009B1ADC">
              <w:rPr>
                <w:rStyle w:val="vortalspan"/>
                <w:rFonts w:ascii="Garamond" w:hAnsi="Garamond" w:cs="Arial"/>
                <w:shd w:val="clear" w:color="auto" w:fill="FFFFFF"/>
              </w:rPr>
              <w:t>Meses)</w:t>
            </w:r>
          </w:p>
        </w:tc>
        <w:tc>
          <w:tcPr>
            <w:tcW w:w="1207" w:type="dxa"/>
          </w:tcPr>
          <w:p w14:paraId="2E569641" w14:textId="77777777" w:rsidR="004051D4" w:rsidRPr="009B1ADC" w:rsidRDefault="004051D4" w:rsidP="005924F0">
            <w:pPr>
              <w:pBdr>
                <w:top w:val="nil"/>
                <w:left w:val="nil"/>
                <w:bottom w:val="nil"/>
                <w:right w:val="nil"/>
                <w:between w:val="nil"/>
              </w:pBdr>
              <w:spacing w:line="232" w:lineRule="auto"/>
              <w:jc w:val="both"/>
              <w:rPr>
                <w:rFonts w:ascii="Garamond" w:eastAsia="Garamond" w:hAnsi="Garamond" w:cs="Garamond"/>
              </w:rPr>
            </w:pPr>
            <w:r w:rsidRPr="009B1ADC">
              <w:rPr>
                <w:rFonts w:ascii="Garamond" w:eastAsia="Garamond" w:hAnsi="Garamond" w:cs="Garamond"/>
              </w:rPr>
              <w:t>Proceso adjudicado y celebrado</w:t>
            </w:r>
          </w:p>
        </w:tc>
      </w:tr>
    </w:tbl>
    <w:p w14:paraId="0146A50E" w14:textId="77777777" w:rsidR="004051D4" w:rsidRDefault="004051D4" w:rsidP="004051D4">
      <w:pPr>
        <w:pStyle w:val="Ttulo3"/>
        <w:tabs>
          <w:tab w:val="left" w:pos="1341"/>
        </w:tabs>
        <w:jc w:val="both"/>
        <w:rPr>
          <w:rFonts w:ascii="Garamond" w:eastAsia="Garamond" w:hAnsi="Garamond" w:cs="Garamond"/>
          <w:b/>
        </w:rPr>
      </w:pPr>
    </w:p>
    <w:p w14:paraId="0E36BFBD" w14:textId="77777777" w:rsidR="004051D4" w:rsidRPr="004A3457" w:rsidRDefault="004051D4" w:rsidP="004051D4">
      <w:pPr>
        <w:pStyle w:val="Ttulo3"/>
        <w:tabs>
          <w:tab w:val="left" w:pos="1341"/>
        </w:tabs>
        <w:jc w:val="both"/>
        <w:rPr>
          <w:rFonts w:ascii="Garamond" w:eastAsia="Garamond" w:hAnsi="Garamond" w:cs="Garamond"/>
          <w:b/>
          <w:color w:val="auto"/>
        </w:rPr>
      </w:pPr>
      <w:r w:rsidRPr="004A3457">
        <w:rPr>
          <w:rFonts w:ascii="Garamond" w:eastAsia="Garamond" w:hAnsi="Garamond" w:cs="Garamond"/>
          <w:color w:val="auto"/>
        </w:rPr>
        <w:t>Ahora bien, en relación a la información propuesta en la Agencia Nacional de Contratación – Colombia Compra Eficiente, que pone a disposición de las entidades estatales la herramienta de visualización para el Análisis de Demanda, la cual permite de manera integral visualizar el comportamiento de compras histórico de la entidad, a través de la consolidación de la información que reposa en el SECOP (I, II y TVEC), se puede establecer que:</w:t>
      </w:r>
    </w:p>
    <w:p w14:paraId="65666B3C" w14:textId="77777777" w:rsidR="004051D4" w:rsidRPr="000F7BC2" w:rsidRDefault="004051D4" w:rsidP="004051D4">
      <w:pPr>
        <w:rPr>
          <w:rFonts w:eastAsia="Garamond"/>
        </w:rPr>
      </w:pPr>
    </w:p>
    <w:p w14:paraId="252CBD45" w14:textId="26FB5C6E" w:rsidR="004051D4" w:rsidRPr="00BF757C" w:rsidRDefault="000F0B1F" w:rsidP="004A3457">
      <w:pPr>
        <w:pStyle w:val="Ttulo3"/>
        <w:tabs>
          <w:tab w:val="left" w:pos="1341"/>
        </w:tabs>
        <w:jc w:val="center"/>
        <w:rPr>
          <w:rFonts w:ascii="Garamond" w:eastAsia="Garamond" w:hAnsi="Garamond" w:cs="Garamond"/>
          <w:b/>
        </w:rPr>
      </w:pPr>
      <w:r w:rsidRPr="000F0B1F">
        <w:rPr>
          <w:rFonts w:ascii="Garamond" w:eastAsia="Garamond" w:hAnsi="Garamond" w:cs="Garamond"/>
          <w:b/>
          <w:noProof/>
        </w:rPr>
        <w:drawing>
          <wp:inline distT="0" distB="0" distL="0" distR="0" wp14:anchorId="1415B0B8" wp14:editId="2E7FDF14">
            <wp:extent cx="6072249" cy="2189289"/>
            <wp:effectExtent l="0" t="0" r="5080" b="190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192" cy="2206575"/>
                    </a:xfrm>
                    <a:prstGeom prst="rect">
                      <a:avLst/>
                    </a:prstGeom>
                  </pic:spPr>
                </pic:pic>
              </a:graphicData>
            </a:graphic>
          </wp:inline>
        </w:drawing>
      </w:r>
    </w:p>
    <w:p w14:paraId="4065C167" w14:textId="546673FD" w:rsidR="004051D4" w:rsidRPr="00BF757C" w:rsidRDefault="000F0B1F" w:rsidP="004A3457">
      <w:pPr>
        <w:pStyle w:val="Ttulo3"/>
        <w:tabs>
          <w:tab w:val="left" w:pos="1341"/>
        </w:tabs>
        <w:jc w:val="center"/>
        <w:rPr>
          <w:rFonts w:ascii="Garamond" w:eastAsia="Garamond" w:hAnsi="Garamond" w:cs="Garamond"/>
          <w:b/>
        </w:rPr>
      </w:pPr>
      <w:r w:rsidRPr="000F0B1F">
        <w:rPr>
          <w:rFonts w:ascii="Garamond" w:eastAsia="Garamond" w:hAnsi="Garamond" w:cs="Garamond"/>
          <w:b/>
          <w:noProof/>
        </w:rPr>
        <w:drawing>
          <wp:inline distT="0" distB="0" distL="0" distR="0" wp14:anchorId="797C90AA" wp14:editId="1CBDB57E">
            <wp:extent cx="6134100" cy="170370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34100" cy="1703705"/>
                    </a:xfrm>
                    <a:prstGeom prst="rect">
                      <a:avLst/>
                    </a:prstGeom>
                  </pic:spPr>
                </pic:pic>
              </a:graphicData>
            </a:graphic>
          </wp:inline>
        </w:drawing>
      </w:r>
    </w:p>
    <w:p w14:paraId="1AB9753F" w14:textId="77777777" w:rsidR="004051D4" w:rsidRPr="00BF757C" w:rsidRDefault="004051D4" w:rsidP="004051D4">
      <w:pPr>
        <w:jc w:val="both"/>
        <w:rPr>
          <w:rFonts w:ascii="Garamond" w:eastAsia="Garamond" w:hAnsi="Garamond" w:cs="Garamond"/>
        </w:rPr>
      </w:pPr>
    </w:p>
    <w:p w14:paraId="57D3A9C8" w14:textId="6E8B2D15" w:rsidR="004051D4" w:rsidRPr="00BF757C" w:rsidRDefault="004051D4" w:rsidP="004051D4">
      <w:pPr>
        <w:jc w:val="both"/>
        <w:rPr>
          <w:rFonts w:ascii="Garamond" w:eastAsia="Garamond" w:hAnsi="Garamond" w:cs="Garamond"/>
        </w:rPr>
      </w:pPr>
      <w:r w:rsidRPr="00BF757C">
        <w:rPr>
          <w:rFonts w:ascii="Garamond" w:eastAsia="Garamond" w:hAnsi="Garamond" w:cs="Garamond"/>
        </w:rPr>
        <w:t>De acuerdo con el análisis de demanda del Modelo de Abastecimiento estratégico – MAE, el gasto realizado en la vigencia 202</w:t>
      </w:r>
      <w:r w:rsidR="00F02699">
        <w:rPr>
          <w:rFonts w:ascii="Garamond" w:eastAsia="Garamond" w:hAnsi="Garamond" w:cs="Garamond"/>
        </w:rPr>
        <w:t>5</w:t>
      </w:r>
      <w:r w:rsidRPr="00BF757C">
        <w:rPr>
          <w:rFonts w:ascii="Garamond" w:eastAsia="Garamond" w:hAnsi="Garamond" w:cs="Garamond"/>
        </w:rPr>
        <w:t xml:space="preserve"> en el portal del SECOP II con las siguientes categorías: 4321 (Equipos Informáticos y accesorios), 9314 (Servicios comunitarios y sociales) y 4323 (</w:t>
      </w:r>
      <w:proofErr w:type="spellStart"/>
      <w:r w:rsidRPr="00BF757C">
        <w:rPr>
          <w:rFonts w:ascii="Garamond" w:eastAsia="Garamond" w:hAnsi="Garamond" w:cs="Garamond"/>
        </w:rPr>
        <w:t>Sofware</w:t>
      </w:r>
      <w:proofErr w:type="spellEnd"/>
      <w:r w:rsidRPr="00BF757C">
        <w:rPr>
          <w:rFonts w:ascii="Garamond" w:eastAsia="Garamond" w:hAnsi="Garamond" w:cs="Garamond"/>
        </w:rPr>
        <w:t>), asciende a $</w:t>
      </w:r>
      <w:r w:rsidR="003E766C">
        <w:rPr>
          <w:rFonts w:ascii="Garamond" w:eastAsia="Garamond" w:hAnsi="Garamond" w:cs="Garamond"/>
        </w:rPr>
        <w:t>4.255.732.424.938</w:t>
      </w:r>
    </w:p>
    <w:p w14:paraId="6E254AD3" w14:textId="77777777" w:rsidR="004051D4" w:rsidRPr="00BF757C" w:rsidRDefault="004051D4" w:rsidP="004051D4">
      <w:pPr>
        <w:pStyle w:val="Ttulo3"/>
        <w:tabs>
          <w:tab w:val="left" w:pos="1341"/>
        </w:tabs>
        <w:jc w:val="both"/>
        <w:rPr>
          <w:rFonts w:ascii="Garamond" w:eastAsia="Garamond" w:hAnsi="Garamond" w:cs="Garamond"/>
          <w:b/>
        </w:rPr>
      </w:pPr>
    </w:p>
    <w:p w14:paraId="27B47372" w14:textId="77777777" w:rsidR="004051D4" w:rsidRPr="00BF757C" w:rsidRDefault="004051D4" w:rsidP="004051D4">
      <w:pPr>
        <w:jc w:val="both"/>
        <w:rPr>
          <w:rFonts w:ascii="Garamond" w:eastAsia="Garamond" w:hAnsi="Garamond" w:cs="Garamond"/>
        </w:rPr>
      </w:pPr>
      <w:r w:rsidRPr="00BF757C">
        <w:rPr>
          <w:rFonts w:ascii="Garamond" w:eastAsia="Garamond" w:hAnsi="Garamond" w:cs="Garamond"/>
        </w:rPr>
        <w:t>A continuación, se encuentra la clasificación de códigos: 4321 (Equipos Informáticos y accesorios), 9314 (Servicios comunitarios y sociales) y 4323 (</w:t>
      </w:r>
      <w:proofErr w:type="spellStart"/>
      <w:r w:rsidRPr="00BF757C">
        <w:rPr>
          <w:rFonts w:ascii="Garamond" w:eastAsia="Garamond" w:hAnsi="Garamond" w:cs="Garamond"/>
        </w:rPr>
        <w:t>Sofware</w:t>
      </w:r>
      <w:proofErr w:type="spellEnd"/>
      <w:r w:rsidRPr="00BF757C">
        <w:rPr>
          <w:rFonts w:ascii="Garamond" w:eastAsia="Garamond" w:hAnsi="Garamond" w:cs="Garamond"/>
        </w:rPr>
        <w:t>), de acuerdo con la clasificación por cantidad de contratos y valor de las transacciones, registrando la siguiente información:</w:t>
      </w:r>
    </w:p>
    <w:p w14:paraId="50BD9A61" w14:textId="77777777" w:rsidR="004051D4" w:rsidRPr="00BF757C" w:rsidRDefault="004051D4" w:rsidP="004051D4">
      <w:pPr>
        <w:jc w:val="both"/>
        <w:rPr>
          <w:rFonts w:ascii="Garamond" w:hAnsi="Garamond"/>
        </w:rPr>
      </w:pPr>
    </w:p>
    <w:p w14:paraId="14D85D66" w14:textId="103CA57F" w:rsidR="004051D4" w:rsidRPr="00BF757C" w:rsidRDefault="00423360" w:rsidP="004051D4">
      <w:pPr>
        <w:jc w:val="center"/>
        <w:rPr>
          <w:rFonts w:ascii="Garamond" w:eastAsia="Garamond" w:hAnsi="Garamond" w:cs="Garamond"/>
          <w:b/>
        </w:rPr>
      </w:pPr>
      <w:r w:rsidRPr="00423360">
        <w:rPr>
          <w:rFonts w:ascii="Garamond" w:eastAsia="Garamond" w:hAnsi="Garamond" w:cs="Garamond"/>
          <w:b/>
          <w:noProof/>
        </w:rPr>
        <w:lastRenderedPageBreak/>
        <w:drawing>
          <wp:inline distT="0" distB="0" distL="0" distR="0" wp14:anchorId="39110CE2" wp14:editId="029C737F">
            <wp:extent cx="6134100" cy="1945005"/>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34100" cy="1945005"/>
                    </a:xfrm>
                    <a:prstGeom prst="rect">
                      <a:avLst/>
                    </a:prstGeom>
                  </pic:spPr>
                </pic:pic>
              </a:graphicData>
            </a:graphic>
          </wp:inline>
        </w:drawing>
      </w:r>
      <w:r w:rsidRPr="00423360">
        <w:rPr>
          <w:rFonts w:ascii="Garamond" w:eastAsia="Garamond" w:hAnsi="Garamond" w:cs="Garamond"/>
          <w:b/>
          <w:noProof/>
        </w:rPr>
        <w:drawing>
          <wp:inline distT="0" distB="0" distL="0" distR="0" wp14:anchorId="01A5A63F" wp14:editId="0979AFBA">
            <wp:extent cx="6134100" cy="68834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34100" cy="688340"/>
                    </a:xfrm>
                    <a:prstGeom prst="rect">
                      <a:avLst/>
                    </a:prstGeom>
                  </pic:spPr>
                </pic:pic>
              </a:graphicData>
            </a:graphic>
          </wp:inline>
        </w:drawing>
      </w:r>
    </w:p>
    <w:p w14:paraId="4B83C395" w14:textId="77777777" w:rsidR="004051D4" w:rsidRPr="00BF757C" w:rsidRDefault="004051D4" w:rsidP="004051D4">
      <w:pPr>
        <w:ind w:right="-427"/>
        <w:jc w:val="both"/>
        <w:rPr>
          <w:rFonts w:ascii="Garamond" w:eastAsia="Arial Nova Light" w:hAnsi="Garamond" w:cs="Arial"/>
          <w:b/>
          <w:bCs/>
        </w:rPr>
      </w:pPr>
    </w:p>
    <w:p w14:paraId="18F30771" w14:textId="77777777" w:rsidR="004051D4" w:rsidRPr="00BF757C" w:rsidRDefault="004051D4" w:rsidP="004051D4">
      <w:pPr>
        <w:autoSpaceDE w:val="0"/>
        <w:jc w:val="both"/>
        <w:rPr>
          <w:rFonts w:ascii="Garamond" w:hAnsi="Garamond"/>
        </w:rPr>
      </w:pPr>
      <w:r w:rsidRPr="00BF757C">
        <w:rPr>
          <w:rFonts w:ascii="Garamond" w:hAnsi="Garamond"/>
        </w:rPr>
        <w:t>El análisis se hace a partir de contrataciones que han realizado entidades de condiciones similares a la Alcaldía Local de San Cristóbal y sobre contrataciones que esta y otras Alcaldías ha realizado en las vigencias anteriores.</w:t>
      </w:r>
    </w:p>
    <w:p w14:paraId="3E714B80" w14:textId="77777777" w:rsidR="004051D4" w:rsidRPr="00BF757C" w:rsidRDefault="004051D4" w:rsidP="004051D4">
      <w:pPr>
        <w:jc w:val="both"/>
        <w:rPr>
          <w:rFonts w:ascii="Garamond" w:hAnsi="Garamond"/>
        </w:rPr>
      </w:pPr>
    </w:p>
    <w:p w14:paraId="1B6A31FD" w14:textId="77777777" w:rsidR="004051D4" w:rsidRPr="00535F3E" w:rsidRDefault="004051D4" w:rsidP="004051D4">
      <w:pPr>
        <w:pStyle w:val="Ttulo3"/>
        <w:tabs>
          <w:tab w:val="left" w:pos="1341"/>
        </w:tabs>
        <w:jc w:val="both"/>
        <w:rPr>
          <w:rFonts w:ascii="Garamond" w:hAnsi="Garamond"/>
          <w:b/>
          <w:bCs/>
          <w:color w:val="auto"/>
        </w:rPr>
      </w:pPr>
      <w:r w:rsidRPr="00535F3E">
        <w:rPr>
          <w:rFonts w:ascii="Garamond" w:hAnsi="Garamond"/>
          <w:color w:val="auto"/>
        </w:rPr>
        <w:t>Razón por la cual y de conformidad con los principios que rigen la contratación pública desarrollados por los instructivos y Manuales de la Agencia de Contratación Publica Colombia Compra Eficiente, es importante para la Entidad conocer las compañías que ofrecen los servicios que se pretenden contratar, esto con el fin de hacer efectiva la participación de oferentes en igualdad de condiciones y de esta forma poder seleccionar la oferta más favorable.</w:t>
      </w:r>
    </w:p>
    <w:p w14:paraId="540C6B22" w14:textId="77777777" w:rsidR="004051D4" w:rsidRPr="00BF757C" w:rsidRDefault="004051D4" w:rsidP="004051D4">
      <w:pPr>
        <w:pStyle w:val="Ttulo3"/>
        <w:tabs>
          <w:tab w:val="left" w:pos="1341"/>
        </w:tabs>
        <w:jc w:val="both"/>
        <w:rPr>
          <w:rFonts w:ascii="Garamond" w:hAnsi="Garamond"/>
          <w:b/>
          <w:bCs/>
        </w:rPr>
      </w:pPr>
    </w:p>
    <w:p w14:paraId="1BBC4E83" w14:textId="7D4FC8C6" w:rsidR="004051D4" w:rsidRPr="00535F3E" w:rsidRDefault="004051D4" w:rsidP="00535F3E">
      <w:pPr>
        <w:jc w:val="both"/>
        <w:rPr>
          <w:rFonts w:ascii="Garamond" w:eastAsia="Garamond" w:hAnsi="Garamond" w:cs="Garamond"/>
        </w:rPr>
      </w:pPr>
      <w:r w:rsidRPr="00BF757C">
        <w:rPr>
          <w:rFonts w:ascii="Garamond" w:hAnsi="Garamond"/>
        </w:rPr>
        <w:t>Con base en la información obtenida en la plataforma SECOP II (Sistema Electrónico Contratación Pública), se elaboró la siguiente tabla que resume la información de procesos de contratación realizados por la alcaldía local de San Cristóbal para</w:t>
      </w:r>
      <w:r w:rsidRPr="00BF757C">
        <w:rPr>
          <w:rFonts w:ascii="Garamond" w:eastAsia="Garamond" w:hAnsi="Garamond" w:cs="Garamond"/>
        </w:rPr>
        <w:t xml:space="preserve"> el año 202</w:t>
      </w:r>
      <w:r w:rsidR="003E766C">
        <w:rPr>
          <w:rFonts w:ascii="Garamond" w:eastAsia="Garamond" w:hAnsi="Garamond" w:cs="Garamond"/>
        </w:rPr>
        <w:t>5</w:t>
      </w:r>
      <w:r w:rsidRPr="00BF757C">
        <w:rPr>
          <w:rFonts w:ascii="Garamond" w:eastAsia="Garamond" w:hAnsi="Garamond" w:cs="Garamond"/>
        </w:rPr>
        <w:t>.</w:t>
      </w:r>
    </w:p>
    <w:p w14:paraId="221CC9A3" w14:textId="77777777" w:rsidR="004051D4" w:rsidRPr="00BF757C" w:rsidRDefault="004051D4" w:rsidP="004051D4">
      <w:pPr>
        <w:jc w:val="both"/>
        <w:rPr>
          <w:rFonts w:ascii="Garamond" w:eastAsia="Garamond" w:hAnsi="Garamond" w:cs="Garamond"/>
        </w:rPr>
      </w:pPr>
    </w:p>
    <w:p w14:paraId="45704815" w14:textId="2F534A03" w:rsidR="004051D4" w:rsidRPr="00BF757C" w:rsidRDefault="00F02699" w:rsidP="00535F3E">
      <w:pPr>
        <w:jc w:val="center"/>
        <w:rPr>
          <w:rFonts w:ascii="Garamond" w:eastAsia="Garamond" w:hAnsi="Garamond" w:cs="Garamond"/>
        </w:rPr>
      </w:pPr>
      <w:r w:rsidRPr="00F02699">
        <w:rPr>
          <w:rFonts w:ascii="Garamond" w:eastAsia="Garamond" w:hAnsi="Garamond" w:cs="Garamond"/>
          <w:noProof/>
        </w:rPr>
        <w:drawing>
          <wp:inline distT="0" distB="0" distL="0" distR="0" wp14:anchorId="294B275D" wp14:editId="086FB58A">
            <wp:extent cx="3974690" cy="1528568"/>
            <wp:effectExtent l="0" t="0" r="698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46851" cy="1556319"/>
                    </a:xfrm>
                    <a:prstGeom prst="rect">
                      <a:avLst/>
                    </a:prstGeom>
                  </pic:spPr>
                </pic:pic>
              </a:graphicData>
            </a:graphic>
          </wp:inline>
        </w:drawing>
      </w:r>
    </w:p>
    <w:p w14:paraId="2CEA7DA9" w14:textId="77777777" w:rsidR="00EB1060" w:rsidRDefault="004051D4" w:rsidP="00EB1060">
      <w:pPr>
        <w:rPr>
          <w:rFonts w:ascii="Garamond" w:hAnsi="Garamond"/>
          <w:sz w:val="20"/>
          <w:szCs w:val="20"/>
        </w:rPr>
      </w:pPr>
      <w:r w:rsidRPr="00BF757C">
        <w:rPr>
          <w:rFonts w:ascii="Garamond" w:hAnsi="Garamond"/>
          <w:sz w:val="20"/>
          <w:szCs w:val="20"/>
        </w:rPr>
        <w:t>Fuente: Modelo de abastecimiento estratégico - SECOP II</w:t>
      </w:r>
    </w:p>
    <w:p w14:paraId="4FD67777" w14:textId="4B80F2AC" w:rsidR="004051D4" w:rsidRPr="00EB1060" w:rsidRDefault="00EB1060" w:rsidP="00EB1060">
      <w:pPr>
        <w:rPr>
          <w:rFonts w:ascii="Garamond" w:hAnsi="Garamond"/>
          <w:sz w:val="20"/>
          <w:szCs w:val="20"/>
        </w:rPr>
      </w:pPr>
      <w:r w:rsidRPr="00EB1060">
        <w:rPr>
          <w:rFonts w:ascii="Garamond" w:eastAsia="Garamond" w:hAnsi="Garamond" w:cs="Garamond"/>
          <w:sz w:val="20"/>
          <w:szCs w:val="20"/>
        </w:rPr>
        <w:t>https://www.colombiacompra.gov.co/analisis-de-datos-de-compra-publica/visualizaciones-compra-publica/herramienta-</w:t>
      </w:r>
      <w:r w:rsidRPr="00EB1060">
        <w:rPr>
          <w:rFonts w:ascii="Garamond" w:eastAsia="Garamond" w:hAnsi="Garamond" w:cs="Garamond"/>
          <w:sz w:val="20"/>
          <w:szCs w:val="20"/>
        </w:rPr>
        <w:lastRenderedPageBreak/>
        <w:t>de-visualizacion-para-el-analisis-de-la-demanda-y-de-la-oferta</w:t>
      </w:r>
      <w:r w:rsidR="004051D4" w:rsidRPr="00535F3E">
        <w:rPr>
          <w:rFonts w:ascii="Garamond" w:eastAsia="Garamond" w:hAnsi="Garamond" w:cs="Garamond"/>
        </w:rPr>
        <w:t>Análisis de la capacidad financiera</w:t>
      </w:r>
    </w:p>
    <w:p w14:paraId="71B1FF92" w14:textId="77777777" w:rsidR="004051D4" w:rsidRPr="00BF757C" w:rsidRDefault="004051D4" w:rsidP="004051D4">
      <w:pPr>
        <w:pStyle w:val="Ttulo3"/>
        <w:tabs>
          <w:tab w:val="left" w:pos="1341"/>
        </w:tabs>
        <w:ind w:firstLine="262"/>
        <w:jc w:val="both"/>
        <w:rPr>
          <w:rFonts w:ascii="Garamond" w:eastAsia="Garamond" w:hAnsi="Garamond" w:cs="Garamond"/>
        </w:rPr>
      </w:pPr>
    </w:p>
    <w:p w14:paraId="54A68118" w14:textId="77777777" w:rsidR="004051D4" w:rsidRPr="00BF757C" w:rsidRDefault="004051D4" w:rsidP="004051D4">
      <w:pPr>
        <w:jc w:val="both"/>
        <w:rPr>
          <w:rFonts w:ascii="Garamond" w:hAnsi="Garamond"/>
        </w:rPr>
      </w:pPr>
      <w:r w:rsidRPr="00BF757C">
        <w:rPr>
          <w:rFonts w:ascii="Garamond" w:hAnsi="Garamond"/>
        </w:rPr>
        <w:t xml:space="preserve">El </w:t>
      </w:r>
      <w:r w:rsidRPr="00BF757C">
        <w:rPr>
          <w:rStyle w:val="Textoennegrita"/>
          <w:rFonts w:ascii="Garamond" w:hAnsi="Garamond"/>
        </w:rPr>
        <w:t>análisis de la capacidad financiera</w:t>
      </w:r>
      <w:r w:rsidRPr="00BF757C">
        <w:rPr>
          <w:rFonts w:ascii="Garamond" w:hAnsi="Garamond"/>
        </w:rPr>
        <w:t xml:space="preserve"> según el </w:t>
      </w:r>
      <w:r w:rsidRPr="00BF757C">
        <w:rPr>
          <w:rStyle w:val="Textoennegrita"/>
          <w:rFonts w:ascii="Garamond" w:hAnsi="Garamond"/>
        </w:rPr>
        <w:t>Decreto 1082 de 2015</w:t>
      </w:r>
      <w:r w:rsidRPr="00BF757C">
        <w:rPr>
          <w:rFonts w:ascii="Garamond" w:hAnsi="Garamond"/>
        </w:rPr>
        <w:t xml:space="preserve"> (por el cual se reglamenta el sistema de compras públicas en Colombia) es un procedimiento que se utiliza principalmente para </w:t>
      </w:r>
      <w:r w:rsidRPr="00BF757C">
        <w:rPr>
          <w:rStyle w:val="Textoennegrita"/>
          <w:rFonts w:ascii="Garamond" w:hAnsi="Garamond"/>
        </w:rPr>
        <w:t>evaluar la solvencia económica de los proponentes</w:t>
      </w:r>
      <w:r w:rsidRPr="00BF757C">
        <w:rPr>
          <w:rFonts w:ascii="Garamond" w:hAnsi="Garamond"/>
        </w:rPr>
        <w:t xml:space="preserve"> en procesos de contratación con el Estado., El </w:t>
      </w:r>
      <w:r w:rsidRPr="00BF757C">
        <w:rPr>
          <w:rFonts w:ascii="Garamond" w:hAnsi="Garamond"/>
          <w:b/>
          <w:bCs/>
        </w:rPr>
        <w:t>Decreto 1082 de 2015</w:t>
      </w:r>
      <w:r w:rsidRPr="00BF757C">
        <w:rPr>
          <w:rFonts w:ascii="Garamond" w:hAnsi="Garamond"/>
        </w:rPr>
        <w:t xml:space="preserve"> establece lineamientos sobre la </w:t>
      </w:r>
      <w:r w:rsidRPr="00BF757C">
        <w:rPr>
          <w:rFonts w:ascii="Garamond" w:hAnsi="Garamond"/>
          <w:b/>
          <w:bCs/>
        </w:rPr>
        <w:t>capacidad financiera</w:t>
      </w:r>
      <w:r w:rsidRPr="00BF757C">
        <w:rPr>
          <w:rFonts w:ascii="Garamond" w:hAnsi="Garamond"/>
        </w:rPr>
        <w:t xml:space="preserve"> de las entidades y contratistas en Colombia, especialmente en el ámbito de la contratación pública. Algunos aspectos clave incluyen:</w:t>
      </w:r>
    </w:p>
    <w:p w14:paraId="12B355B4" w14:textId="77777777" w:rsidR="004051D4" w:rsidRPr="00F04E9B" w:rsidRDefault="004051D4" w:rsidP="004051D4">
      <w:pPr>
        <w:pStyle w:val="Ttulo3"/>
        <w:tabs>
          <w:tab w:val="left" w:pos="1341"/>
        </w:tabs>
        <w:ind w:firstLine="262"/>
        <w:jc w:val="both"/>
        <w:rPr>
          <w:rFonts w:ascii="Garamond" w:eastAsia="Garamond" w:hAnsi="Garamond" w:cs="Garamond"/>
          <w:b/>
        </w:rPr>
      </w:pPr>
      <w:r w:rsidRPr="00BF757C">
        <w:rPr>
          <w:rFonts w:ascii="Garamond" w:hAnsi="Garamond"/>
        </w:rPr>
        <w:t xml:space="preserve"> </w:t>
      </w:r>
    </w:p>
    <w:p w14:paraId="04EBA805" w14:textId="77777777" w:rsidR="004051D4" w:rsidRPr="00BF757C" w:rsidRDefault="004051D4" w:rsidP="005A6698">
      <w:pPr>
        <w:widowControl/>
        <w:numPr>
          <w:ilvl w:val="0"/>
          <w:numId w:val="16"/>
        </w:numPr>
        <w:spacing w:after="160" w:line="276" w:lineRule="auto"/>
        <w:jc w:val="both"/>
        <w:rPr>
          <w:rFonts w:ascii="Garamond" w:hAnsi="Garamond"/>
        </w:rPr>
      </w:pPr>
      <w:r w:rsidRPr="00BF757C">
        <w:rPr>
          <w:rFonts w:ascii="Garamond" w:hAnsi="Garamond"/>
          <w:b/>
          <w:bCs/>
        </w:rPr>
        <w:t>Indicadores financieros</w:t>
      </w:r>
      <w:r w:rsidRPr="00BF757C">
        <w:rPr>
          <w:rFonts w:ascii="Garamond" w:hAnsi="Garamond"/>
        </w:rPr>
        <w:t>: Se utilizan criterios como el patrimonio, los ingresos y la liquidez para evaluar la capacidad de una entidad para cumplir con sus obligaciones contractuales.</w:t>
      </w:r>
    </w:p>
    <w:p w14:paraId="5F99822F" w14:textId="77777777" w:rsidR="004051D4" w:rsidRPr="00BF757C" w:rsidRDefault="004051D4" w:rsidP="005A6698">
      <w:pPr>
        <w:widowControl/>
        <w:numPr>
          <w:ilvl w:val="0"/>
          <w:numId w:val="16"/>
        </w:numPr>
        <w:spacing w:after="160" w:line="276" w:lineRule="auto"/>
        <w:jc w:val="both"/>
        <w:rPr>
          <w:rFonts w:ascii="Garamond" w:hAnsi="Garamond"/>
        </w:rPr>
      </w:pPr>
      <w:r w:rsidRPr="00BF757C">
        <w:rPr>
          <w:rFonts w:ascii="Garamond" w:hAnsi="Garamond"/>
          <w:b/>
          <w:bCs/>
        </w:rPr>
        <w:t>Registro Único de Proponentes (RUP)</w:t>
      </w:r>
      <w:r w:rsidRPr="00BF757C">
        <w:rPr>
          <w:rFonts w:ascii="Garamond" w:hAnsi="Garamond"/>
        </w:rPr>
        <w:t>: La información financiera y organizacional de los proponentes debe estar actualizada y en firme en el RUP para procesos de selección.</w:t>
      </w:r>
    </w:p>
    <w:p w14:paraId="1F243206" w14:textId="77777777" w:rsidR="004051D4" w:rsidRPr="00BF757C" w:rsidRDefault="004051D4" w:rsidP="005A6698">
      <w:pPr>
        <w:widowControl/>
        <w:numPr>
          <w:ilvl w:val="0"/>
          <w:numId w:val="16"/>
        </w:numPr>
        <w:spacing w:after="160" w:line="276" w:lineRule="auto"/>
        <w:jc w:val="both"/>
        <w:rPr>
          <w:rFonts w:ascii="Garamond" w:hAnsi="Garamond"/>
        </w:rPr>
      </w:pPr>
      <w:r w:rsidRPr="00BF757C">
        <w:rPr>
          <w:rFonts w:ascii="Garamond" w:hAnsi="Garamond"/>
          <w:b/>
          <w:bCs/>
        </w:rPr>
        <w:t>Evaluación de riesgos</w:t>
      </w:r>
      <w:r w:rsidRPr="00BF757C">
        <w:rPr>
          <w:rFonts w:ascii="Garamond" w:hAnsi="Garamond"/>
        </w:rPr>
        <w:t>: Se consideran factores financieros para determinar la viabilidad de los contratos y minimizar riesgos de incumplimiento.</w:t>
      </w:r>
    </w:p>
    <w:p w14:paraId="4A9FC7B4" w14:textId="77777777" w:rsidR="004051D4" w:rsidRPr="00535F3E" w:rsidRDefault="004051D4" w:rsidP="005A6698">
      <w:pPr>
        <w:pStyle w:val="Ttulo3"/>
        <w:numPr>
          <w:ilvl w:val="1"/>
          <w:numId w:val="15"/>
        </w:numPr>
        <w:tabs>
          <w:tab w:val="num" w:pos="1440"/>
        </w:tabs>
        <w:ind w:left="1440" w:hanging="360"/>
        <w:jc w:val="both"/>
        <w:rPr>
          <w:rFonts w:ascii="Garamond" w:hAnsi="Garamond"/>
          <w:color w:val="auto"/>
        </w:rPr>
      </w:pPr>
      <w:r w:rsidRPr="00535F3E">
        <w:rPr>
          <w:rFonts w:ascii="Garamond" w:hAnsi="Garamond"/>
          <w:color w:val="auto"/>
        </w:rPr>
        <w:t>Componentes Clave del Análisis</w:t>
      </w:r>
    </w:p>
    <w:p w14:paraId="6EBD0EB8" w14:textId="77777777" w:rsidR="004051D4" w:rsidRPr="00BF757C" w:rsidRDefault="004051D4" w:rsidP="004051D4">
      <w:pPr>
        <w:pStyle w:val="NormalWeb"/>
        <w:jc w:val="both"/>
        <w:rPr>
          <w:rFonts w:ascii="Garamond" w:hAnsi="Garamond"/>
        </w:rPr>
      </w:pPr>
      <w:r w:rsidRPr="00BF757C">
        <w:rPr>
          <w:rFonts w:ascii="Garamond" w:hAnsi="Garamond"/>
        </w:rPr>
        <w:t xml:space="preserve">El Decreto establece que la capacidad financiera se mide principalmente con base en los siguientes </w:t>
      </w:r>
      <w:r w:rsidRPr="00BF757C">
        <w:rPr>
          <w:rStyle w:val="Textoennegrita"/>
          <w:rFonts w:ascii="Garamond" w:hAnsi="Garamond"/>
        </w:rPr>
        <w:t>indicadores financieros</w:t>
      </w:r>
      <w:r w:rsidRPr="00BF757C">
        <w:rPr>
          <w:rFonts w:ascii="Garamond" w:hAnsi="Garamond"/>
        </w:rPr>
        <w:t>:</w:t>
      </w:r>
    </w:p>
    <w:p w14:paraId="65EA89E0" w14:textId="77777777" w:rsidR="004051D4" w:rsidRPr="00BF757C" w:rsidRDefault="004051D4" w:rsidP="004051D4">
      <w:pPr>
        <w:widowControl/>
        <w:spacing w:after="160" w:line="276" w:lineRule="auto"/>
        <w:ind w:left="720"/>
        <w:jc w:val="both"/>
        <w:rPr>
          <w:rFonts w:ascii="Garamond" w:hAnsi="Garamond"/>
        </w:rPr>
      </w:pPr>
      <w:r w:rsidRPr="00BF757C">
        <w:rPr>
          <w:rFonts w:ascii="Garamond" w:hAnsi="Garamond"/>
          <w:noProof/>
        </w:rPr>
        <w:drawing>
          <wp:inline distT="0" distB="0" distL="0" distR="0" wp14:anchorId="64CD8B72" wp14:editId="3C6B9059">
            <wp:extent cx="4502811" cy="257556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523185" cy="2587214"/>
                    </a:xfrm>
                    <a:prstGeom prst="rect">
                      <a:avLst/>
                    </a:prstGeom>
                  </pic:spPr>
                </pic:pic>
              </a:graphicData>
            </a:graphic>
          </wp:inline>
        </w:drawing>
      </w:r>
    </w:p>
    <w:p w14:paraId="71B838E7" w14:textId="77777777" w:rsidR="004051D4" w:rsidRPr="00BF757C" w:rsidRDefault="004051D4" w:rsidP="004051D4">
      <w:pPr>
        <w:pStyle w:val="Ttulo3"/>
        <w:ind w:firstLine="262"/>
        <w:jc w:val="both"/>
        <w:rPr>
          <w:rFonts w:ascii="Garamond" w:eastAsia="Garamond" w:hAnsi="Garamond" w:cs="Garamond"/>
        </w:rPr>
      </w:pPr>
    </w:p>
    <w:p w14:paraId="436BF0A7" w14:textId="77777777" w:rsidR="004051D4" w:rsidRPr="00535F3E" w:rsidRDefault="004051D4" w:rsidP="005A6698">
      <w:pPr>
        <w:pStyle w:val="Ttulo3"/>
        <w:numPr>
          <w:ilvl w:val="1"/>
          <w:numId w:val="15"/>
        </w:numPr>
        <w:tabs>
          <w:tab w:val="num" w:pos="1440"/>
        </w:tabs>
        <w:ind w:left="1440" w:hanging="360"/>
        <w:jc w:val="both"/>
        <w:rPr>
          <w:rFonts w:ascii="Garamond" w:eastAsia="Garamond" w:hAnsi="Garamond" w:cs="Garamond"/>
          <w:color w:val="auto"/>
        </w:rPr>
      </w:pPr>
      <w:r w:rsidRPr="00535F3E">
        <w:rPr>
          <w:rFonts w:ascii="Garamond" w:eastAsia="Garamond" w:hAnsi="Garamond" w:cs="Garamond"/>
          <w:color w:val="auto"/>
        </w:rPr>
        <w:t>Indicadores de capacidad organizacional</w:t>
      </w:r>
    </w:p>
    <w:p w14:paraId="1EFBFE87" w14:textId="77777777" w:rsidR="004051D4" w:rsidRPr="00535F3E" w:rsidRDefault="004051D4" w:rsidP="004051D4">
      <w:pPr>
        <w:pStyle w:val="Ttulo3"/>
        <w:ind w:firstLine="262"/>
        <w:jc w:val="both"/>
        <w:rPr>
          <w:rFonts w:ascii="Garamond" w:eastAsia="Garamond" w:hAnsi="Garamond" w:cs="Garamond"/>
          <w:color w:val="auto"/>
        </w:rPr>
      </w:pPr>
    </w:p>
    <w:p w14:paraId="44603BF0" w14:textId="77777777" w:rsidR="004051D4" w:rsidRPr="00535F3E" w:rsidRDefault="004051D4" w:rsidP="004051D4">
      <w:pPr>
        <w:pStyle w:val="Ttulo3"/>
        <w:ind w:firstLine="262"/>
        <w:jc w:val="both"/>
        <w:rPr>
          <w:rFonts w:ascii="Garamond" w:hAnsi="Garamond"/>
          <w:color w:val="auto"/>
        </w:rPr>
      </w:pPr>
      <w:r w:rsidRPr="00535F3E">
        <w:rPr>
          <w:rFonts w:ascii="Garamond" w:hAnsi="Garamond"/>
          <w:color w:val="auto"/>
        </w:rPr>
        <w:t xml:space="preserve">Los </w:t>
      </w:r>
      <w:r w:rsidRPr="00535F3E">
        <w:rPr>
          <w:rStyle w:val="Textoennegrita"/>
          <w:rFonts w:ascii="Garamond" w:hAnsi="Garamond"/>
          <w:color w:val="auto"/>
        </w:rPr>
        <w:t>indicadores de capacidad organizacional</w:t>
      </w:r>
      <w:r w:rsidRPr="00535F3E">
        <w:rPr>
          <w:rFonts w:ascii="Garamond" w:hAnsi="Garamond"/>
          <w:color w:val="auto"/>
        </w:rPr>
        <w:t xml:space="preserve"> según el </w:t>
      </w:r>
      <w:r w:rsidRPr="00535F3E">
        <w:rPr>
          <w:rStyle w:val="Textoennegrita"/>
          <w:rFonts w:ascii="Garamond" w:hAnsi="Garamond"/>
          <w:color w:val="auto"/>
        </w:rPr>
        <w:t>Decreto 1082 de 2015</w:t>
      </w:r>
      <w:r w:rsidRPr="00535F3E">
        <w:rPr>
          <w:rFonts w:ascii="Garamond" w:hAnsi="Garamond"/>
          <w:color w:val="auto"/>
        </w:rPr>
        <w:t xml:space="preserve"> forman parte de los </w:t>
      </w:r>
      <w:r w:rsidRPr="00535F3E">
        <w:rPr>
          <w:rStyle w:val="Textoennegrita"/>
          <w:rFonts w:ascii="Garamond" w:hAnsi="Garamond"/>
          <w:color w:val="auto"/>
        </w:rPr>
        <w:t>requisitos habilitantes</w:t>
      </w:r>
      <w:r w:rsidRPr="00535F3E">
        <w:rPr>
          <w:rFonts w:ascii="Garamond" w:hAnsi="Garamond"/>
          <w:color w:val="auto"/>
        </w:rPr>
        <w:t xml:space="preserve"> que deben cumplir los proponentes para contratar con el Estado. Estos indicadores evalúan si una persona natural o jurídica tiene la estructura administrativa, el personal y la experiencia institucional necesarios para ejecutar un contrato.</w:t>
      </w:r>
    </w:p>
    <w:p w14:paraId="3AE83730" w14:textId="77777777" w:rsidR="004051D4" w:rsidRPr="00BF757C" w:rsidRDefault="004051D4" w:rsidP="004051D4">
      <w:pPr>
        <w:pStyle w:val="NormalWeb"/>
        <w:jc w:val="both"/>
        <w:rPr>
          <w:rFonts w:ascii="Garamond" w:hAnsi="Garamond"/>
        </w:rPr>
      </w:pPr>
      <w:r w:rsidRPr="00535F3E">
        <w:rPr>
          <w:rFonts w:ascii="Garamond" w:hAnsi="Garamond"/>
        </w:rPr>
        <w:t xml:space="preserve">El Decreto 1082 </w:t>
      </w:r>
      <w:r w:rsidRPr="00535F3E">
        <w:rPr>
          <w:rStyle w:val="Textoennegrita"/>
          <w:rFonts w:ascii="Garamond" w:hAnsi="Garamond"/>
        </w:rPr>
        <w:t xml:space="preserve">establece parámetros y elementos que las entidades </w:t>
      </w:r>
      <w:r w:rsidRPr="00BF757C">
        <w:rPr>
          <w:rStyle w:val="Textoennegrita"/>
          <w:rFonts w:ascii="Garamond" w:hAnsi="Garamond"/>
        </w:rPr>
        <w:t>contratantes pueden exigir</w:t>
      </w:r>
      <w:r w:rsidRPr="00BF757C">
        <w:rPr>
          <w:rFonts w:ascii="Garamond" w:hAnsi="Garamond"/>
        </w:rPr>
        <w:t>, entre ellos:</w:t>
      </w:r>
    </w:p>
    <w:p w14:paraId="7999ED79" w14:textId="77777777" w:rsidR="004051D4" w:rsidRPr="00BF757C" w:rsidRDefault="004051D4" w:rsidP="004051D4">
      <w:pPr>
        <w:pStyle w:val="Ttulo4"/>
        <w:jc w:val="both"/>
        <w:rPr>
          <w:rFonts w:ascii="Garamond" w:hAnsi="Garamond"/>
        </w:rPr>
      </w:pPr>
      <w:r w:rsidRPr="00BF757C">
        <w:rPr>
          <w:rFonts w:ascii="Garamond" w:hAnsi="Garamond"/>
        </w:rPr>
        <w:t xml:space="preserve">1. </w:t>
      </w:r>
      <w:r w:rsidRPr="00BF757C">
        <w:rPr>
          <w:rStyle w:val="Textoennegrita"/>
          <w:rFonts w:ascii="Garamond" w:hAnsi="Garamond"/>
        </w:rPr>
        <w:t>Patrimonio</w:t>
      </w:r>
    </w:p>
    <w:p w14:paraId="21382E46" w14:textId="77777777" w:rsidR="004051D4" w:rsidRPr="00BF757C" w:rsidRDefault="004051D4" w:rsidP="005A6698">
      <w:pPr>
        <w:pStyle w:val="NormalWeb"/>
        <w:numPr>
          <w:ilvl w:val="0"/>
          <w:numId w:val="17"/>
        </w:numPr>
        <w:jc w:val="both"/>
        <w:rPr>
          <w:rFonts w:ascii="Garamond" w:hAnsi="Garamond"/>
        </w:rPr>
      </w:pPr>
      <w:r w:rsidRPr="00BF757C">
        <w:rPr>
          <w:rFonts w:ascii="Garamond" w:hAnsi="Garamond"/>
        </w:rPr>
        <w:t>Se puede usar como representante de la solidez organizacional.</w:t>
      </w:r>
    </w:p>
    <w:p w14:paraId="0353FBE4" w14:textId="77777777" w:rsidR="004051D4" w:rsidRPr="00BF757C" w:rsidRDefault="004051D4" w:rsidP="005A6698">
      <w:pPr>
        <w:pStyle w:val="NormalWeb"/>
        <w:numPr>
          <w:ilvl w:val="0"/>
          <w:numId w:val="17"/>
        </w:numPr>
        <w:jc w:val="both"/>
        <w:rPr>
          <w:rFonts w:ascii="Garamond" w:hAnsi="Garamond"/>
        </w:rPr>
      </w:pPr>
      <w:r w:rsidRPr="00BF757C">
        <w:rPr>
          <w:rStyle w:val="Textoennegrita"/>
          <w:rFonts w:ascii="Garamond" w:hAnsi="Garamond"/>
        </w:rPr>
        <w:t>Fórmula:</w:t>
      </w:r>
    </w:p>
    <w:p w14:paraId="47F2FFBE" w14:textId="77777777" w:rsidR="004051D4" w:rsidRPr="00BF757C" w:rsidRDefault="004051D4" w:rsidP="004051D4">
      <w:pPr>
        <w:spacing w:beforeAutospacing="1" w:afterAutospacing="1"/>
        <w:ind w:left="720"/>
        <w:jc w:val="both"/>
        <w:rPr>
          <w:rStyle w:val="katex-mathml"/>
          <w:rFonts w:ascii="Garamond" w:hAnsi="Garamond"/>
        </w:rPr>
      </w:pPr>
      <w:r w:rsidRPr="00BF757C">
        <w:rPr>
          <w:rStyle w:val="katex-mathml"/>
          <w:rFonts w:ascii="Garamond" w:hAnsi="Garamond"/>
        </w:rPr>
        <w:t>Patrimonio = Activo Total − Pasivo Total</w:t>
      </w:r>
    </w:p>
    <w:p w14:paraId="5049F26B" w14:textId="77777777" w:rsidR="004051D4" w:rsidRPr="00BF757C" w:rsidRDefault="004051D4" w:rsidP="004051D4">
      <w:pPr>
        <w:spacing w:beforeAutospacing="1" w:afterAutospacing="1"/>
        <w:ind w:left="720"/>
        <w:jc w:val="both"/>
        <w:rPr>
          <w:rFonts w:ascii="Garamond" w:hAnsi="Garamond"/>
        </w:rPr>
      </w:pPr>
      <w:r w:rsidRPr="00BF757C">
        <w:rPr>
          <w:rStyle w:val="Textoennegrita"/>
          <w:rFonts w:ascii="Garamond" w:hAnsi="Garamond"/>
        </w:rPr>
        <w:t>Interpretación</w:t>
      </w:r>
      <w:r w:rsidRPr="00BF757C">
        <w:rPr>
          <w:rFonts w:ascii="Garamond" w:hAnsi="Garamond"/>
        </w:rPr>
        <w:t>: Un mayor patrimonio sugiere una organización más sólida y con respaldo económico.</w:t>
      </w:r>
    </w:p>
    <w:p w14:paraId="3FE5CDE9" w14:textId="77777777" w:rsidR="004051D4" w:rsidRPr="00BF757C" w:rsidRDefault="004051D4" w:rsidP="004051D4">
      <w:pPr>
        <w:pStyle w:val="Ttulo4"/>
        <w:jc w:val="both"/>
        <w:rPr>
          <w:rFonts w:ascii="Garamond" w:hAnsi="Garamond"/>
        </w:rPr>
      </w:pPr>
      <w:r w:rsidRPr="00BF757C">
        <w:rPr>
          <w:rFonts w:ascii="Garamond" w:hAnsi="Garamond"/>
        </w:rPr>
        <w:t xml:space="preserve">2. </w:t>
      </w:r>
      <w:r w:rsidRPr="00BF757C">
        <w:rPr>
          <w:rStyle w:val="Textoennegrita"/>
          <w:rFonts w:ascii="Garamond" w:hAnsi="Garamond"/>
        </w:rPr>
        <w:t>Personal Directivo y Técnico</w:t>
      </w:r>
    </w:p>
    <w:p w14:paraId="6E1931B8" w14:textId="77777777" w:rsidR="004051D4" w:rsidRPr="00BF757C" w:rsidRDefault="004051D4" w:rsidP="005A6698">
      <w:pPr>
        <w:pStyle w:val="NormalWeb"/>
        <w:numPr>
          <w:ilvl w:val="0"/>
          <w:numId w:val="18"/>
        </w:numPr>
        <w:jc w:val="both"/>
        <w:rPr>
          <w:rFonts w:ascii="Garamond" w:hAnsi="Garamond"/>
        </w:rPr>
      </w:pPr>
      <w:r w:rsidRPr="00BF757C">
        <w:rPr>
          <w:rFonts w:ascii="Garamond" w:hAnsi="Garamond"/>
        </w:rPr>
        <w:t>Las entidades contratantes pueden exigir:</w:t>
      </w:r>
    </w:p>
    <w:p w14:paraId="57954406" w14:textId="77777777" w:rsidR="004051D4" w:rsidRPr="00BF757C" w:rsidRDefault="004051D4" w:rsidP="005A6698">
      <w:pPr>
        <w:pStyle w:val="NormalWeb"/>
        <w:numPr>
          <w:ilvl w:val="1"/>
          <w:numId w:val="18"/>
        </w:numPr>
        <w:jc w:val="both"/>
        <w:rPr>
          <w:rFonts w:ascii="Garamond" w:hAnsi="Garamond"/>
        </w:rPr>
      </w:pPr>
      <w:r w:rsidRPr="00BF757C">
        <w:rPr>
          <w:rFonts w:ascii="Garamond" w:hAnsi="Garamond"/>
        </w:rPr>
        <w:t>Número mínimo de personas con ciertos perfiles profesionales.</w:t>
      </w:r>
    </w:p>
    <w:p w14:paraId="145F6E7A" w14:textId="77777777" w:rsidR="004051D4" w:rsidRPr="00BF757C" w:rsidRDefault="004051D4" w:rsidP="005A6698">
      <w:pPr>
        <w:pStyle w:val="NormalWeb"/>
        <w:numPr>
          <w:ilvl w:val="1"/>
          <w:numId w:val="18"/>
        </w:numPr>
        <w:jc w:val="both"/>
        <w:rPr>
          <w:rFonts w:ascii="Garamond" w:hAnsi="Garamond"/>
        </w:rPr>
      </w:pPr>
      <w:r w:rsidRPr="00BF757C">
        <w:rPr>
          <w:rFonts w:ascii="Garamond" w:hAnsi="Garamond"/>
        </w:rPr>
        <w:t>Experiencia del equipo directivo y técnico.</w:t>
      </w:r>
    </w:p>
    <w:p w14:paraId="2C1DFF0F" w14:textId="77777777" w:rsidR="004051D4" w:rsidRPr="00BF757C" w:rsidRDefault="004051D4" w:rsidP="005A6698">
      <w:pPr>
        <w:pStyle w:val="NormalWeb"/>
        <w:numPr>
          <w:ilvl w:val="0"/>
          <w:numId w:val="18"/>
        </w:numPr>
        <w:jc w:val="both"/>
        <w:rPr>
          <w:rFonts w:ascii="Garamond" w:hAnsi="Garamond"/>
        </w:rPr>
      </w:pPr>
      <w:r w:rsidRPr="00BF757C">
        <w:rPr>
          <w:rStyle w:val="Textoennegrita"/>
          <w:rFonts w:ascii="Garamond" w:hAnsi="Garamond"/>
        </w:rPr>
        <w:t>Soporte</w:t>
      </w:r>
      <w:r w:rsidRPr="00BF757C">
        <w:rPr>
          <w:rFonts w:ascii="Garamond" w:hAnsi="Garamond"/>
        </w:rPr>
        <w:t>: Hojas de vida, certificaciones, contratos previos, RUT, afiliaciones.</w:t>
      </w:r>
    </w:p>
    <w:p w14:paraId="15CEB9E5" w14:textId="77777777" w:rsidR="004051D4" w:rsidRPr="00BF757C" w:rsidRDefault="004051D4" w:rsidP="004051D4">
      <w:pPr>
        <w:pStyle w:val="Ttulo4"/>
        <w:jc w:val="both"/>
        <w:rPr>
          <w:rFonts w:ascii="Garamond" w:hAnsi="Garamond"/>
        </w:rPr>
      </w:pPr>
      <w:r w:rsidRPr="00BF757C">
        <w:rPr>
          <w:rFonts w:ascii="Garamond" w:hAnsi="Garamond"/>
        </w:rPr>
        <w:t xml:space="preserve">3. </w:t>
      </w:r>
      <w:r w:rsidRPr="00BF757C">
        <w:rPr>
          <w:rStyle w:val="Textoennegrita"/>
          <w:rFonts w:ascii="Garamond" w:hAnsi="Garamond"/>
        </w:rPr>
        <w:t>Estructura Administrativa</w:t>
      </w:r>
    </w:p>
    <w:p w14:paraId="36BE38B2" w14:textId="77777777" w:rsidR="004051D4" w:rsidRPr="00BF757C" w:rsidRDefault="004051D4" w:rsidP="005A6698">
      <w:pPr>
        <w:pStyle w:val="NormalWeb"/>
        <w:numPr>
          <w:ilvl w:val="0"/>
          <w:numId w:val="19"/>
        </w:numPr>
        <w:jc w:val="both"/>
        <w:rPr>
          <w:rFonts w:ascii="Garamond" w:hAnsi="Garamond"/>
        </w:rPr>
      </w:pPr>
      <w:r w:rsidRPr="00BF757C">
        <w:rPr>
          <w:rFonts w:ascii="Garamond" w:hAnsi="Garamond"/>
        </w:rPr>
        <w:t>Manual de funciones, organigrama, existencia de áreas o roles clave (financiera, técnica, jurídica, operativa).</w:t>
      </w:r>
    </w:p>
    <w:p w14:paraId="3A91C87A" w14:textId="77777777" w:rsidR="004051D4" w:rsidRPr="00BF757C" w:rsidRDefault="004051D4" w:rsidP="005A6698">
      <w:pPr>
        <w:pStyle w:val="NormalWeb"/>
        <w:numPr>
          <w:ilvl w:val="0"/>
          <w:numId w:val="19"/>
        </w:numPr>
        <w:jc w:val="both"/>
        <w:rPr>
          <w:rFonts w:ascii="Garamond" w:hAnsi="Garamond"/>
        </w:rPr>
      </w:pPr>
      <w:r w:rsidRPr="00BF757C">
        <w:rPr>
          <w:rFonts w:ascii="Garamond" w:hAnsi="Garamond"/>
        </w:rPr>
        <w:t>Aplica especialmente en contratos de gran escala o alta complejidad.</w:t>
      </w:r>
    </w:p>
    <w:p w14:paraId="05C4B290" w14:textId="77777777" w:rsidR="004051D4" w:rsidRPr="00BF757C" w:rsidRDefault="004051D4" w:rsidP="004051D4">
      <w:pPr>
        <w:pStyle w:val="Ttulo4"/>
        <w:jc w:val="both"/>
        <w:rPr>
          <w:rFonts w:ascii="Garamond" w:hAnsi="Garamond"/>
        </w:rPr>
      </w:pPr>
      <w:r w:rsidRPr="00BF757C">
        <w:rPr>
          <w:rFonts w:ascii="Garamond" w:hAnsi="Garamond"/>
        </w:rPr>
        <w:t xml:space="preserve">4. </w:t>
      </w:r>
      <w:r w:rsidRPr="00BF757C">
        <w:rPr>
          <w:rStyle w:val="Textoennegrita"/>
          <w:rFonts w:ascii="Garamond" w:hAnsi="Garamond"/>
        </w:rPr>
        <w:t>Experiencia Institucional Similar</w:t>
      </w:r>
    </w:p>
    <w:p w14:paraId="6602E14D" w14:textId="77777777" w:rsidR="004051D4" w:rsidRPr="00BF757C" w:rsidRDefault="004051D4" w:rsidP="005A6698">
      <w:pPr>
        <w:pStyle w:val="NormalWeb"/>
        <w:numPr>
          <w:ilvl w:val="0"/>
          <w:numId w:val="20"/>
        </w:numPr>
        <w:jc w:val="both"/>
        <w:rPr>
          <w:rFonts w:ascii="Garamond" w:hAnsi="Garamond"/>
        </w:rPr>
      </w:pPr>
      <w:r w:rsidRPr="00BF757C">
        <w:rPr>
          <w:rFonts w:ascii="Garamond" w:hAnsi="Garamond"/>
        </w:rPr>
        <w:t>Historial de contratos similares ejecutados correctamente.</w:t>
      </w:r>
    </w:p>
    <w:p w14:paraId="178A4082" w14:textId="77777777" w:rsidR="004051D4" w:rsidRPr="00BF757C" w:rsidRDefault="004051D4" w:rsidP="005A6698">
      <w:pPr>
        <w:pStyle w:val="NormalWeb"/>
        <w:numPr>
          <w:ilvl w:val="0"/>
          <w:numId w:val="20"/>
        </w:numPr>
        <w:jc w:val="both"/>
        <w:rPr>
          <w:rFonts w:ascii="Garamond" w:hAnsi="Garamond"/>
        </w:rPr>
      </w:pPr>
      <w:r w:rsidRPr="00BF757C">
        <w:rPr>
          <w:rFonts w:ascii="Garamond" w:hAnsi="Garamond"/>
        </w:rPr>
        <w:t>Se mide en:</w:t>
      </w:r>
    </w:p>
    <w:p w14:paraId="2DD98688" w14:textId="77777777" w:rsidR="004051D4" w:rsidRPr="00BF757C" w:rsidRDefault="004051D4" w:rsidP="005A6698">
      <w:pPr>
        <w:pStyle w:val="NormalWeb"/>
        <w:numPr>
          <w:ilvl w:val="1"/>
          <w:numId w:val="20"/>
        </w:numPr>
        <w:jc w:val="both"/>
        <w:rPr>
          <w:rFonts w:ascii="Garamond" w:hAnsi="Garamond"/>
        </w:rPr>
      </w:pPr>
      <w:r w:rsidRPr="00BF757C">
        <w:rPr>
          <w:rFonts w:ascii="Garamond" w:hAnsi="Garamond"/>
        </w:rPr>
        <w:t>Número de contratos.</w:t>
      </w:r>
    </w:p>
    <w:p w14:paraId="0D0AD7F1" w14:textId="77777777" w:rsidR="004051D4" w:rsidRPr="00BF757C" w:rsidRDefault="004051D4" w:rsidP="005A6698">
      <w:pPr>
        <w:pStyle w:val="NormalWeb"/>
        <w:numPr>
          <w:ilvl w:val="1"/>
          <w:numId w:val="20"/>
        </w:numPr>
        <w:jc w:val="both"/>
        <w:rPr>
          <w:rFonts w:ascii="Garamond" w:hAnsi="Garamond"/>
        </w:rPr>
      </w:pPr>
      <w:r w:rsidRPr="00BF757C">
        <w:rPr>
          <w:rFonts w:ascii="Garamond" w:hAnsi="Garamond"/>
        </w:rPr>
        <w:t>Valor ejecutado.</w:t>
      </w:r>
    </w:p>
    <w:p w14:paraId="740AE56E" w14:textId="77777777" w:rsidR="004051D4" w:rsidRPr="00BF757C" w:rsidRDefault="004051D4" w:rsidP="005A6698">
      <w:pPr>
        <w:pStyle w:val="NormalWeb"/>
        <w:numPr>
          <w:ilvl w:val="1"/>
          <w:numId w:val="20"/>
        </w:numPr>
        <w:jc w:val="both"/>
        <w:rPr>
          <w:rFonts w:ascii="Garamond" w:hAnsi="Garamond"/>
        </w:rPr>
      </w:pPr>
      <w:r w:rsidRPr="00BF757C">
        <w:rPr>
          <w:rFonts w:ascii="Garamond" w:hAnsi="Garamond"/>
        </w:rPr>
        <w:lastRenderedPageBreak/>
        <w:t>Antigüedad.</w:t>
      </w:r>
    </w:p>
    <w:p w14:paraId="6110A598" w14:textId="77777777" w:rsidR="004051D4" w:rsidRPr="00BF757C" w:rsidRDefault="004051D4" w:rsidP="005A6698">
      <w:pPr>
        <w:pStyle w:val="NormalWeb"/>
        <w:numPr>
          <w:ilvl w:val="1"/>
          <w:numId w:val="20"/>
        </w:numPr>
        <w:jc w:val="both"/>
        <w:rPr>
          <w:rFonts w:ascii="Garamond" w:hAnsi="Garamond"/>
        </w:rPr>
      </w:pPr>
      <w:r w:rsidRPr="00BF757C">
        <w:rPr>
          <w:rFonts w:ascii="Garamond" w:hAnsi="Garamond"/>
        </w:rPr>
        <w:t>Objeto del contrato (debe ser similar).</w:t>
      </w:r>
    </w:p>
    <w:p w14:paraId="56ADA324" w14:textId="77777777" w:rsidR="004051D4" w:rsidRPr="00535F3E" w:rsidRDefault="004051D4" w:rsidP="005A6698">
      <w:pPr>
        <w:pStyle w:val="Ttulo3"/>
        <w:numPr>
          <w:ilvl w:val="0"/>
          <w:numId w:val="8"/>
        </w:numPr>
        <w:ind w:left="720"/>
        <w:jc w:val="both"/>
        <w:rPr>
          <w:rStyle w:val="Textoennegrita"/>
          <w:rFonts w:ascii="Garamond" w:hAnsi="Garamond"/>
          <w:b w:val="0"/>
          <w:bCs w:val="0"/>
          <w:color w:val="auto"/>
        </w:rPr>
      </w:pPr>
      <w:r w:rsidRPr="00535F3E">
        <w:rPr>
          <w:rStyle w:val="Textoennegrita"/>
          <w:rFonts w:ascii="Garamond" w:hAnsi="Garamond"/>
          <w:color w:val="auto"/>
        </w:rPr>
        <w:t xml:space="preserve">Documentos Soporte </w:t>
      </w:r>
    </w:p>
    <w:p w14:paraId="5E587DA2" w14:textId="77777777" w:rsidR="004051D4" w:rsidRPr="00535F3E" w:rsidRDefault="004051D4" w:rsidP="005A6698">
      <w:pPr>
        <w:pStyle w:val="Ttulo3"/>
        <w:numPr>
          <w:ilvl w:val="0"/>
          <w:numId w:val="21"/>
        </w:numPr>
        <w:ind w:hanging="720"/>
        <w:jc w:val="both"/>
        <w:rPr>
          <w:rFonts w:ascii="Garamond" w:hAnsi="Garamond"/>
          <w:color w:val="auto"/>
        </w:rPr>
      </w:pPr>
      <w:r w:rsidRPr="00535F3E">
        <w:rPr>
          <w:rFonts w:ascii="Garamond" w:hAnsi="Garamond"/>
          <w:color w:val="auto"/>
        </w:rPr>
        <w:t>Certificados de experiencia expedidos por clientes anteriores.</w:t>
      </w:r>
    </w:p>
    <w:p w14:paraId="03D89CBA" w14:textId="77777777" w:rsidR="004051D4" w:rsidRPr="00535F3E" w:rsidRDefault="004051D4" w:rsidP="005A6698">
      <w:pPr>
        <w:pStyle w:val="NormalWeb"/>
        <w:numPr>
          <w:ilvl w:val="0"/>
          <w:numId w:val="21"/>
        </w:numPr>
        <w:jc w:val="both"/>
        <w:rPr>
          <w:rFonts w:ascii="Garamond" w:hAnsi="Garamond"/>
        </w:rPr>
      </w:pPr>
      <w:r w:rsidRPr="00535F3E">
        <w:rPr>
          <w:rFonts w:ascii="Garamond" w:hAnsi="Garamond"/>
        </w:rPr>
        <w:t>Estados financieros firmados por contador o revisor fiscal.</w:t>
      </w:r>
    </w:p>
    <w:p w14:paraId="28013C20" w14:textId="77777777" w:rsidR="004051D4" w:rsidRPr="00535F3E" w:rsidRDefault="004051D4" w:rsidP="005A6698">
      <w:pPr>
        <w:pStyle w:val="NormalWeb"/>
        <w:numPr>
          <w:ilvl w:val="0"/>
          <w:numId w:val="21"/>
        </w:numPr>
        <w:jc w:val="both"/>
        <w:rPr>
          <w:rFonts w:ascii="Garamond" w:hAnsi="Garamond"/>
        </w:rPr>
      </w:pPr>
      <w:r w:rsidRPr="00535F3E">
        <w:rPr>
          <w:rFonts w:ascii="Garamond" w:hAnsi="Garamond"/>
        </w:rPr>
        <w:t>Certificaciones de existencia y representación legal.</w:t>
      </w:r>
    </w:p>
    <w:p w14:paraId="526C6613" w14:textId="77777777" w:rsidR="004051D4" w:rsidRPr="00BF757C" w:rsidRDefault="004051D4" w:rsidP="005A6698">
      <w:pPr>
        <w:pStyle w:val="NormalWeb"/>
        <w:numPr>
          <w:ilvl w:val="0"/>
          <w:numId w:val="21"/>
        </w:numPr>
        <w:jc w:val="both"/>
        <w:rPr>
          <w:rFonts w:ascii="Garamond" w:hAnsi="Garamond"/>
        </w:rPr>
      </w:pPr>
      <w:r w:rsidRPr="00BF757C">
        <w:rPr>
          <w:rFonts w:ascii="Garamond" w:hAnsi="Garamond"/>
        </w:rPr>
        <w:t>Organigrama y manuales.</w:t>
      </w:r>
    </w:p>
    <w:p w14:paraId="2394C790" w14:textId="77777777" w:rsidR="004051D4" w:rsidRPr="00F04E9B" w:rsidRDefault="004051D4" w:rsidP="005A6698">
      <w:pPr>
        <w:pStyle w:val="NormalWeb"/>
        <w:numPr>
          <w:ilvl w:val="0"/>
          <w:numId w:val="21"/>
        </w:numPr>
        <w:jc w:val="both"/>
        <w:rPr>
          <w:rFonts w:ascii="Garamond" w:hAnsi="Garamond"/>
        </w:rPr>
      </w:pPr>
      <w:r w:rsidRPr="00BF757C">
        <w:rPr>
          <w:rFonts w:ascii="Garamond" w:hAnsi="Garamond"/>
        </w:rPr>
        <w:t>Hojas de vida del equipo de trabajo clave.</w:t>
      </w:r>
    </w:p>
    <w:p w14:paraId="1DB89EEE" w14:textId="77777777" w:rsidR="004051D4" w:rsidRPr="00535F3E" w:rsidRDefault="004051D4" w:rsidP="005A6698">
      <w:pPr>
        <w:pStyle w:val="Ttulo2"/>
        <w:numPr>
          <w:ilvl w:val="0"/>
          <w:numId w:val="15"/>
        </w:numPr>
        <w:tabs>
          <w:tab w:val="num" w:pos="720"/>
          <w:tab w:val="left" w:pos="979"/>
        </w:tabs>
        <w:ind w:left="720" w:hanging="360"/>
        <w:rPr>
          <w:rFonts w:ascii="Garamond" w:eastAsia="Garamond" w:hAnsi="Garamond" w:cs="Garamond"/>
          <w:color w:val="auto"/>
        </w:rPr>
      </w:pPr>
      <w:bookmarkStart w:id="1" w:name="_heading=h.vgrgu684acd1" w:colFirst="0" w:colLast="0"/>
      <w:bookmarkEnd w:id="1"/>
      <w:r w:rsidRPr="00535F3E">
        <w:rPr>
          <w:rFonts w:ascii="Garamond" w:eastAsia="Garamond" w:hAnsi="Garamond" w:cs="Garamond"/>
          <w:color w:val="auto"/>
        </w:rPr>
        <w:t>ANÁLISIS DE PRECIOS</w:t>
      </w:r>
    </w:p>
    <w:p w14:paraId="4EB5CC1A" w14:textId="77777777" w:rsidR="004051D4" w:rsidRDefault="004051D4" w:rsidP="004051D4">
      <w:pPr>
        <w:pBdr>
          <w:top w:val="nil"/>
          <w:left w:val="nil"/>
          <w:bottom w:val="nil"/>
          <w:right w:val="nil"/>
          <w:between w:val="nil"/>
        </w:pBdr>
        <w:spacing w:before="179" w:line="235" w:lineRule="auto"/>
        <w:ind w:left="262" w:right="256"/>
        <w:jc w:val="both"/>
        <w:rPr>
          <w:rFonts w:ascii="Garamond" w:eastAsia="Garamond" w:hAnsi="Garamond" w:cs="Garamond"/>
          <w:color w:val="000000"/>
        </w:rPr>
      </w:pPr>
      <w:r w:rsidRPr="00BF757C">
        <w:rPr>
          <w:rFonts w:ascii="Garamond" w:eastAsia="Garamond" w:hAnsi="Garamond" w:cs="Garamond"/>
          <w:color w:val="000000"/>
        </w:rPr>
        <w:t>En la determinación del presupuesto aproximado asignado a la presente propuesta se analizaron cotizaciones con algunos de los proveedores del servicio requerido. Para una</w:t>
      </w:r>
      <w:r>
        <w:rPr>
          <w:rFonts w:ascii="Garamond" w:eastAsia="Garamond" w:hAnsi="Garamond" w:cs="Garamond"/>
          <w:color w:val="000000"/>
        </w:rPr>
        <w:t xml:space="preserve"> mejor compresión Ver ANEXO ESTUDIO DE MERCADO.</w:t>
      </w:r>
    </w:p>
    <w:p w14:paraId="59AB5666" w14:textId="2A600248" w:rsidR="004051D4" w:rsidRDefault="004051D4" w:rsidP="004051D4">
      <w:pPr>
        <w:rPr>
          <w:rFonts w:ascii="Garamond" w:eastAsia="Garamond" w:hAnsi="Garamond" w:cs="Garamond"/>
          <w:color w:val="000000"/>
        </w:rPr>
      </w:pPr>
    </w:p>
    <w:p w14:paraId="40444A70" w14:textId="16E89311" w:rsidR="004051D4" w:rsidRDefault="004051D4" w:rsidP="004051D4">
      <w:pPr>
        <w:rPr>
          <w:rFonts w:ascii="Garamond" w:eastAsia="Garamond" w:hAnsi="Garamond" w:cs="Garamond"/>
          <w:color w:val="000000"/>
        </w:rPr>
      </w:pPr>
    </w:p>
    <w:p w14:paraId="735EA79F" w14:textId="36A6B77C" w:rsidR="004051D4" w:rsidRDefault="004051D4" w:rsidP="004051D4">
      <w:pPr>
        <w:rPr>
          <w:rFonts w:ascii="Garamond" w:eastAsia="Garamond" w:hAnsi="Garamond" w:cs="Garamond"/>
          <w:b/>
        </w:rPr>
      </w:pPr>
    </w:p>
    <w:p w14:paraId="34D9E431" w14:textId="261404F8" w:rsidR="00535F3E" w:rsidRDefault="00535F3E" w:rsidP="004051D4">
      <w:pPr>
        <w:rPr>
          <w:rFonts w:ascii="Garamond" w:eastAsia="Garamond" w:hAnsi="Garamond" w:cs="Garamond"/>
          <w:b/>
        </w:rPr>
      </w:pPr>
    </w:p>
    <w:p w14:paraId="690F5769" w14:textId="0C9955A0" w:rsidR="00535F3E" w:rsidRDefault="00535F3E" w:rsidP="004051D4">
      <w:pPr>
        <w:rPr>
          <w:rFonts w:ascii="Garamond" w:eastAsia="Garamond" w:hAnsi="Garamond" w:cs="Garamond"/>
          <w:b/>
        </w:rPr>
      </w:pPr>
    </w:p>
    <w:p w14:paraId="7176A5FA" w14:textId="6FCA5344" w:rsidR="00535F3E" w:rsidRDefault="00535F3E" w:rsidP="004051D4">
      <w:pPr>
        <w:rPr>
          <w:rFonts w:ascii="Garamond" w:eastAsia="Garamond" w:hAnsi="Garamond" w:cs="Garamond"/>
          <w:b/>
        </w:rPr>
      </w:pPr>
    </w:p>
    <w:p w14:paraId="1D1E708E" w14:textId="3D1B25B4" w:rsidR="004051D4" w:rsidRDefault="004051D4" w:rsidP="00EB3700">
      <w:pPr>
        <w:rPr>
          <w:rFonts w:ascii="Garamond" w:eastAsia="Garamond" w:hAnsi="Garamond" w:cs="Garamond"/>
          <w:b/>
        </w:rPr>
      </w:pPr>
    </w:p>
    <w:p w14:paraId="55824C2C" w14:textId="02B10F67" w:rsidR="00EB3700" w:rsidRDefault="00EB3700" w:rsidP="004051D4">
      <w:pPr>
        <w:jc w:val="center"/>
        <w:rPr>
          <w:rFonts w:ascii="Garamond" w:eastAsia="Garamond" w:hAnsi="Garamond" w:cs="Garamond"/>
          <w:b/>
        </w:rPr>
      </w:pPr>
    </w:p>
    <w:p w14:paraId="5DA8869B" w14:textId="77777777" w:rsidR="00EB3700" w:rsidRDefault="00EB3700" w:rsidP="004051D4">
      <w:pPr>
        <w:jc w:val="center"/>
        <w:rPr>
          <w:rFonts w:ascii="Garamond" w:eastAsia="Garamond" w:hAnsi="Garamond" w:cs="Garamond"/>
          <w:b/>
        </w:rPr>
      </w:pPr>
    </w:p>
    <w:p w14:paraId="33D0C7D6" w14:textId="77777777" w:rsidR="004051D4" w:rsidRDefault="004051D4" w:rsidP="004051D4">
      <w:pPr>
        <w:jc w:val="center"/>
        <w:rPr>
          <w:rFonts w:ascii="Garamond" w:eastAsia="Garamond" w:hAnsi="Garamond" w:cs="Garamond"/>
          <w:b/>
        </w:rPr>
      </w:pPr>
      <w:r>
        <w:rPr>
          <w:rFonts w:ascii="Garamond" w:eastAsia="Garamond" w:hAnsi="Garamond" w:cs="Garamond"/>
          <w:b/>
        </w:rPr>
        <w:t>_______________________________________</w:t>
      </w:r>
    </w:p>
    <w:p w14:paraId="6B8F24D2" w14:textId="77777777" w:rsidR="004051D4" w:rsidRDefault="004051D4" w:rsidP="004051D4">
      <w:pPr>
        <w:jc w:val="center"/>
        <w:rPr>
          <w:rFonts w:ascii="Garamond" w:eastAsia="Garamond" w:hAnsi="Garamond" w:cs="Garamond"/>
          <w:b/>
        </w:rPr>
      </w:pPr>
      <w:r>
        <w:rPr>
          <w:rFonts w:ascii="Garamond" w:eastAsia="Garamond" w:hAnsi="Garamond" w:cs="Garamond"/>
          <w:b/>
        </w:rPr>
        <w:t>CARLOS HERNANDO MACÍAS MONTOYA</w:t>
      </w:r>
    </w:p>
    <w:p w14:paraId="6D848273" w14:textId="77777777" w:rsidR="004051D4" w:rsidRDefault="004051D4" w:rsidP="004051D4">
      <w:pPr>
        <w:jc w:val="center"/>
        <w:rPr>
          <w:rFonts w:ascii="Garamond" w:eastAsia="Garamond" w:hAnsi="Garamond" w:cs="Garamond"/>
          <w:b/>
        </w:rPr>
      </w:pPr>
      <w:r>
        <w:rPr>
          <w:rFonts w:ascii="Garamond" w:eastAsia="Garamond" w:hAnsi="Garamond" w:cs="Garamond"/>
          <w:b/>
        </w:rPr>
        <w:t>Alcalde Local de San Cristóbal</w:t>
      </w:r>
    </w:p>
    <w:p w14:paraId="3848AFD6" w14:textId="3103A6D5" w:rsidR="004051D4" w:rsidRDefault="004051D4" w:rsidP="004051D4">
      <w:pPr>
        <w:rPr>
          <w:rFonts w:ascii="Garamond" w:eastAsia="Garamond" w:hAnsi="Garamond" w:cs="Garamond"/>
        </w:rPr>
      </w:pPr>
      <w:r>
        <w:rPr>
          <w:rFonts w:ascii="Garamond" w:eastAsia="Garamond" w:hAnsi="Garamond" w:cs="Garamond"/>
        </w:rPr>
        <w:t xml:space="preserve"> </w:t>
      </w:r>
    </w:p>
    <w:p w14:paraId="7424043B" w14:textId="24C336E2" w:rsidR="00535F3E" w:rsidRDefault="00535F3E" w:rsidP="004051D4">
      <w:pPr>
        <w:rPr>
          <w:rFonts w:ascii="Garamond" w:eastAsia="Garamond" w:hAnsi="Garamond" w:cs="Garamond"/>
        </w:rPr>
      </w:pPr>
    </w:p>
    <w:p w14:paraId="701D41DB" w14:textId="77777777" w:rsidR="00535F3E" w:rsidRDefault="00535F3E" w:rsidP="004051D4">
      <w:pPr>
        <w:rPr>
          <w:rFonts w:ascii="Garamond" w:eastAsia="Garamond" w:hAnsi="Garamond" w:cs="Garamond"/>
        </w:rPr>
      </w:pPr>
    </w:p>
    <w:p w14:paraId="578E8613" w14:textId="61E33DEA" w:rsidR="004051D4" w:rsidRDefault="004051D4" w:rsidP="004051D4">
      <w:pPr>
        <w:rPr>
          <w:rFonts w:ascii="Garamond" w:eastAsia="Garamond" w:hAnsi="Garamond" w:cs="Garamond"/>
        </w:rPr>
      </w:pPr>
    </w:p>
    <w:p w14:paraId="6D1794DD" w14:textId="55B2011E" w:rsidR="00EB3700" w:rsidRDefault="00EB3700" w:rsidP="00EB3700">
      <w:pPr>
        <w:ind w:left="3538" w:hanging="3538"/>
        <w:jc w:val="both"/>
        <w:rPr>
          <w:rFonts w:ascii="Garamond" w:hAnsi="Garamond" w:cs="Arial"/>
          <w:sz w:val="16"/>
          <w:szCs w:val="16"/>
        </w:rPr>
      </w:pPr>
    </w:p>
    <w:p w14:paraId="4DD92C1E" w14:textId="08D732F3" w:rsidR="004051D4" w:rsidRDefault="004051D4" w:rsidP="00031206">
      <w:pPr>
        <w:jc w:val="both"/>
        <w:rPr>
          <w:rFonts w:ascii="Garamond" w:eastAsia="Garamond" w:hAnsi="Garamond" w:cs="Garamond"/>
          <w:b/>
          <w:color w:val="000000"/>
          <w:sz w:val="20"/>
          <w:szCs w:val="20"/>
        </w:rPr>
      </w:pPr>
    </w:p>
    <w:p w14:paraId="19D58D1C" w14:textId="28E1C46D" w:rsidR="00031206" w:rsidRDefault="00031206" w:rsidP="00031206">
      <w:pPr>
        <w:shd w:val="clear" w:color="auto" w:fill="FFFFFF"/>
        <w:jc w:val="both"/>
        <w:rPr>
          <w:rFonts w:ascii="Garamond" w:eastAsia="Garamond" w:hAnsi="Garamond" w:cs="Garamond"/>
          <w:b/>
          <w:color w:val="000000"/>
          <w:sz w:val="20"/>
          <w:szCs w:val="20"/>
        </w:rPr>
      </w:pPr>
      <w:r>
        <w:rPr>
          <w:noProof/>
        </w:rPr>
        <w:drawing>
          <wp:anchor distT="0" distB="0" distL="0" distR="0" simplePos="0" relativeHeight="251659264" behindDoc="1" locked="0" layoutInCell="1" hidden="0" allowOverlap="1" wp14:anchorId="058D6A72" wp14:editId="44A7EB62">
            <wp:simplePos x="0" y="0"/>
            <wp:positionH relativeFrom="column">
              <wp:posOffset>3448050</wp:posOffset>
            </wp:positionH>
            <wp:positionV relativeFrom="paragraph">
              <wp:posOffset>64770</wp:posOffset>
            </wp:positionV>
            <wp:extent cx="172085" cy="135890"/>
            <wp:effectExtent l="0" t="0" r="0" b="0"/>
            <wp:wrapNone/>
            <wp:docPr id="1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5"/>
                    <a:srcRect l="27728" t="22271" r="35683" b="25238"/>
                    <a:stretch>
                      <a:fillRect/>
                    </a:stretch>
                  </pic:blipFill>
                  <pic:spPr>
                    <a:xfrm>
                      <a:off x="0" y="0"/>
                      <a:ext cx="172085" cy="135890"/>
                    </a:xfrm>
                    <a:prstGeom prst="rect">
                      <a:avLst/>
                    </a:prstGeom>
                    <a:ln/>
                  </pic:spPr>
                </pic:pic>
              </a:graphicData>
            </a:graphic>
          </wp:anchor>
        </w:drawing>
      </w:r>
    </w:p>
    <w:p w14:paraId="30933055" w14:textId="77777777" w:rsidR="00031206" w:rsidRDefault="00031206" w:rsidP="00031206">
      <w:pPr>
        <w:jc w:val="both"/>
        <w:rPr>
          <w:rFonts w:ascii="Arial" w:eastAsia="Arial" w:hAnsi="Arial" w:cs="Arial"/>
          <w:sz w:val="14"/>
          <w:szCs w:val="14"/>
        </w:rPr>
      </w:pPr>
      <w:r>
        <w:rPr>
          <w:noProof/>
        </w:rPr>
        <w:drawing>
          <wp:anchor distT="0" distB="0" distL="0" distR="0" simplePos="0" relativeHeight="251661312" behindDoc="1" locked="0" layoutInCell="1" hidden="0" allowOverlap="1" wp14:anchorId="57EA54E0" wp14:editId="53C6F31C">
            <wp:simplePos x="0" y="0"/>
            <wp:positionH relativeFrom="column">
              <wp:posOffset>3325495</wp:posOffset>
            </wp:positionH>
            <wp:positionV relativeFrom="paragraph">
              <wp:posOffset>60553</wp:posOffset>
            </wp:positionV>
            <wp:extent cx="352425" cy="281305"/>
            <wp:effectExtent l="0" t="0" r="9525" b="4445"/>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6"/>
                    <a:srcRect/>
                    <a:stretch>
                      <a:fillRect/>
                    </a:stretch>
                  </pic:blipFill>
                  <pic:spPr>
                    <a:xfrm>
                      <a:off x="0" y="0"/>
                      <a:ext cx="352425" cy="281305"/>
                    </a:xfrm>
                    <a:prstGeom prst="rect">
                      <a:avLst/>
                    </a:prstGeom>
                    <a:ln/>
                  </pic:spPr>
                </pic:pic>
              </a:graphicData>
            </a:graphic>
          </wp:anchor>
        </w:drawing>
      </w:r>
      <w:r>
        <w:rPr>
          <w:rFonts w:ascii="Arial" w:eastAsia="Arial" w:hAnsi="Arial" w:cs="Arial"/>
          <w:sz w:val="14"/>
          <w:szCs w:val="14"/>
        </w:rPr>
        <w:t>Elaboró: Magda Barragán Ramírez - Profesional Participación Incidente-CPS 792-2026</w:t>
      </w:r>
    </w:p>
    <w:p w14:paraId="19B1F975" w14:textId="77777777" w:rsidR="00031206" w:rsidRDefault="00031206" w:rsidP="00031206">
      <w:pPr>
        <w:jc w:val="both"/>
        <w:rPr>
          <w:rFonts w:ascii="Arial" w:eastAsia="Arial" w:hAnsi="Arial" w:cs="Arial"/>
          <w:sz w:val="14"/>
          <w:szCs w:val="14"/>
        </w:rPr>
      </w:pPr>
      <w:r>
        <w:rPr>
          <w:rFonts w:ascii="Arial" w:eastAsia="Arial" w:hAnsi="Arial" w:cs="Arial"/>
          <w:sz w:val="14"/>
          <w:szCs w:val="14"/>
        </w:rPr>
        <w:t>Elaboró:  Fabio Ernesto Muñoz - Profesional Participación Incidente-CPS 753-2026</w:t>
      </w:r>
    </w:p>
    <w:p w14:paraId="5BBBC968" w14:textId="77777777" w:rsidR="00031206" w:rsidRDefault="00031206" w:rsidP="00031206">
      <w:pPr>
        <w:jc w:val="both"/>
        <w:rPr>
          <w:rFonts w:ascii="Arial" w:eastAsia="Arial" w:hAnsi="Arial" w:cs="Arial"/>
          <w:sz w:val="14"/>
          <w:szCs w:val="14"/>
        </w:rPr>
      </w:pPr>
      <w:r>
        <w:rPr>
          <w:rFonts w:ascii="Arial" w:eastAsia="Arial" w:hAnsi="Arial" w:cs="Arial"/>
          <w:sz w:val="14"/>
          <w:szCs w:val="14"/>
        </w:rPr>
        <w:t xml:space="preserve">Reviso: Ana </w:t>
      </w:r>
      <w:proofErr w:type="spellStart"/>
      <w:r>
        <w:rPr>
          <w:rFonts w:ascii="Arial" w:eastAsia="Arial" w:hAnsi="Arial" w:cs="Arial"/>
          <w:sz w:val="14"/>
          <w:szCs w:val="14"/>
        </w:rPr>
        <w:t>Maria</w:t>
      </w:r>
      <w:proofErr w:type="spellEnd"/>
      <w:r>
        <w:rPr>
          <w:rFonts w:ascii="Arial" w:eastAsia="Arial" w:hAnsi="Arial" w:cs="Arial"/>
          <w:sz w:val="14"/>
          <w:szCs w:val="14"/>
        </w:rPr>
        <w:t xml:space="preserve"> Cano Ardila – </w:t>
      </w:r>
      <w:proofErr w:type="spellStart"/>
      <w:r>
        <w:rPr>
          <w:rFonts w:ascii="Arial" w:eastAsia="Arial" w:hAnsi="Arial" w:cs="Arial"/>
          <w:sz w:val="14"/>
          <w:szCs w:val="14"/>
        </w:rPr>
        <w:t>Lider</w:t>
      </w:r>
      <w:proofErr w:type="spellEnd"/>
      <w:r>
        <w:rPr>
          <w:rFonts w:ascii="Arial" w:eastAsia="Arial" w:hAnsi="Arial" w:cs="Arial"/>
          <w:sz w:val="14"/>
          <w:szCs w:val="14"/>
        </w:rPr>
        <w:t xml:space="preserve"> </w:t>
      </w:r>
      <w:proofErr w:type="spellStart"/>
      <w:r>
        <w:rPr>
          <w:rFonts w:ascii="Arial" w:eastAsia="Arial" w:hAnsi="Arial" w:cs="Arial"/>
          <w:sz w:val="14"/>
          <w:szCs w:val="14"/>
        </w:rPr>
        <w:t>area</w:t>
      </w:r>
      <w:proofErr w:type="spellEnd"/>
      <w:r>
        <w:rPr>
          <w:rFonts w:ascii="Arial" w:eastAsia="Arial" w:hAnsi="Arial" w:cs="Arial"/>
          <w:sz w:val="14"/>
          <w:szCs w:val="14"/>
        </w:rPr>
        <w:t xml:space="preserve"> de </w:t>
      </w:r>
      <w:proofErr w:type="spellStart"/>
      <w:r>
        <w:rPr>
          <w:rFonts w:ascii="Arial" w:eastAsia="Arial" w:hAnsi="Arial" w:cs="Arial"/>
          <w:sz w:val="14"/>
          <w:szCs w:val="14"/>
        </w:rPr>
        <w:t>Participacion</w:t>
      </w:r>
      <w:proofErr w:type="spellEnd"/>
      <w:r>
        <w:rPr>
          <w:rFonts w:ascii="Arial" w:eastAsia="Arial" w:hAnsi="Arial" w:cs="Arial"/>
          <w:sz w:val="14"/>
          <w:szCs w:val="14"/>
        </w:rPr>
        <w:t xml:space="preserve">- CPS-533-2026 </w:t>
      </w:r>
    </w:p>
    <w:p w14:paraId="4E2A74B2" w14:textId="77777777" w:rsidR="00031206" w:rsidRDefault="00031206" w:rsidP="00031206">
      <w:pPr>
        <w:jc w:val="both"/>
        <w:rPr>
          <w:rFonts w:ascii="Arial" w:eastAsia="Arial" w:hAnsi="Arial" w:cs="Arial"/>
          <w:sz w:val="14"/>
          <w:szCs w:val="14"/>
        </w:rPr>
      </w:pPr>
      <w:r>
        <w:rPr>
          <w:rFonts w:ascii="Arial" w:eastAsia="Arial" w:hAnsi="Arial" w:cs="Arial"/>
          <w:sz w:val="14"/>
          <w:szCs w:val="14"/>
        </w:rPr>
        <w:t xml:space="preserve">Reviso:  Juan Carlos Moreno </w:t>
      </w:r>
      <w:proofErr w:type="spellStart"/>
      <w:r>
        <w:rPr>
          <w:rFonts w:ascii="Arial" w:eastAsia="Arial" w:hAnsi="Arial" w:cs="Arial"/>
          <w:sz w:val="14"/>
          <w:szCs w:val="14"/>
        </w:rPr>
        <w:t>Jimenez</w:t>
      </w:r>
      <w:proofErr w:type="spellEnd"/>
      <w:r>
        <w:rPr>
          <w:rFonts w:ascii="Arial" w:eastAsia="Arial" w:hAnsi="Arial" w:cs="Arial"/>
          <w:sz w:val="14"/>
          <w:szCs w:val="14"/>
        </w:rPr>
        <w:t xml:space="preserve">- Gerenta de Territorio Social-CPS </w:t>
      </w:r>
    </w:p>
    <w:p w14:paraId="4DCBA94E" w14:textId="77777777" w:rsidR="00031206" w:rsidRDefault="00031206" w:rsidP="00031206">
      <w:pPr>
        <w:jc w:val="both"/>
        <w:rPr>
          <w:rFonts w:ascii="Arial" w:eastAsia="Arial" w:hAnsi="Arial" w:cs="Arial"/>
          <w:sz w:val="14"/>
          <w:szCs w:val="14"/>
        </w:rPr>
      </w:pPr>
      <w:r>
        <w:rPr>
          <w:rFonts w:ascii="Arial" w:eastAsia="Arial" w:hAnsi="Arial" w:cs="Arial"/>
          <w:sz w:val="14"/>
          <w:szCs w:val="14"/>
        </w:rPr>
        <w:t xml:space="preserve">Revisó: </w:t>
      </w:r>
      <w:proofErr w:type="spellStart"/>
      <w:r>
        <w:rPr>
          <w:rFonts w:ascii="Arial" w:eastAsia="Arial" w:hAnsi="Arial" w:cs="Arial"/>
          <w:sz w:val="14"/>
          <w:szCs w:val="14"/>
        </w:rPr>
        <w:t>Rocio</w:t>
      </w:r>
      <w:proofErr w:type="spellEnd"/>
      <w:r>
        <w:rPr>
          <w:rFonts w:ascii="Arial" w:eastAsia="Arial" w:hAnsi="Arial" w:cs="Arial"/>
          <w:sz w:val="14"/>
          <w:szCs w:val="14"/>
        </w:rPr>
        <w:t xml:space="preserve"> Salgado Esparza – Contratista. Oficina de Planeación.</w:t>
      </w:r>
    </w:p>
    <w:p w14:paraId="192AEA9B" w14:textId="77777777" w:rsidR="00031206" w:rsidRDefault="00031206" w:rsidP="00031206">
      <w:pPr>
        <w:jc w:val="both"/>
        <w:rPr>
          <w:rFonts w:ascii="Arial" w:eastAsia="Arial" w:hAnsi="Arial" w:cs="Arial"/>
          <w:sz w:val="14"/>
          <w:szCs w:val="14"/>
        </w:rPr>
      </w:pPr>
      <w:r>
        <w:rPr>
          <w:rFonts w:ascii="Arial" w:eastAsia="Arial" w:hAnsi="Arial" w:cs="Arial"/>
          <w:sz w:val="14"/>
          <w:szCs w:val="14"/>
        </w:rPr>
        <w:t>Revisó: Mauricio Barragán – Contratista. Oficina Contratación.</w:t>
      </w:r>
      <w:r>
        <w:rPr>
          <w:rFonts w:ascii="Arial" w:eastAsia="Arial" w:hAnsi="Arial" w:cs="Arial"/>
          <w:sz w:val="14"/>
          <w:szCs w:val="14"/>
        </w:rPr>
        <w:tab/>
      </w:r>
    </w:p>
    <w:p w14:paraId="1E770AE9" w14:textId="77777777" w:rsidR="00031206" w:rsidRDefault="00031206" w:rsidP="00031206">
      <w:pPr>
        <w:jc w:val="both"/>
        <w:rPr>
          <w:rFonts w:ascii="Arial" w:eastAsia="Arial" w:hAnsi="Arial" w:cs="Arial"/>
          <w:b/>
          <w:color w:val="000000"/>
          <w:sz w:val="14"/>
          <w:szCs w:val="14"/>
        </w:rPr>
      </w:pPr>
      <w:r>
        <w:rPr>
          <w:rFonts w:ascii="Arial" w:eastAsia="Arial" w:hAnsi="Arial" w:cs="Arial"/>
          <w:sz w:val="14"/>
          <w:szCs w:val="14"/>
        </w:rPr>
        <w:t>Aprobó</w:t>
      </w:r>
      <w:r>
        <w:rPr>
          <w:rFonts w:ascii="Arial" w:eastAsia="Arial" w:hAnsi="Arial" w:cs="Arial"/>
          <w:color w:val="000000"/>
          <w:sz w:val="14"/>
          <w:szCs w:val="14"/>
        </w:rPr>
        <w:t>:</w:t>
      </w:r>
      <w:r>
        <w:rPr>
          <w:rFonts w:ascii="Arial" w:eastAsia="Arial" w:hAnsi="Arial" w:cs="Arial"/>
          <w:b/>
          <w:color w:val="000000"/>
          <w:sz w:val="14"/>
          <w:szCs w:val="14"/>
        </w:rPr>
        <w:t xml:space="preserve"> </w:t>
      </w:r>
      <w:r>
        <w:rPr>
          <w:rFonts w:ascii="Arial" w:eastAsia="Arial" w:hAnsi="Arial" w:cs="Arial"/>
          <w:color w:val="000000"/>
          <w:sz w:val="14"/>
          <w:szCs w:val="14"/>
        </w:rPr>
        <w:t>  XXXX – Asesor Despacho</w:t>
      </w:r>
    </w:p>
    <w:p w14:paraId="7B9FA4A9" w14:textId="77777777" w:rsidR="001F1F48" w:rsidRDefault="001F1F48" w:rsidP="00031206">
      <w:pPr>
        <w:pBdr>
          <w:top w:val="nil"/>
          <w:left w:val="nil"/>
          <w:bottom w:val="nil"/>
          <w:right w:val="nil"/>
          <w:between w:val="nil"/>
        </w:pBdr>
        <w:jc w:val="both"/>
        <w:rPr>
          <w:rFonts w:ascii="Garamond" w:eastAsia="Garamond" w:hAnsi="Garamond" w:cs="Garamond"/>
          <w:color w:val="000000"/>
          <w:sz w:val="24"/>
          <w:szCs w:val="24"/>
        </w:rPr>
      </w:pPr>
    </w:p>
    <w:sectPr w:rsidR="001F1F48">
      <w:headerReference w:type="default" r:id="rId27"/>
      <w:footerReference w:type="default" r:id="rId28"/>
      <w:pgSz w:w="12240" w:h="15840"/>
      <w:pgMar w:top="2400" w:right="1280" w:bottom="2660" w:left="1300" w:header="1096" w:footer="2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EC3C9" w14:textId="77777777" w:rsidR="006F21CD" w:rsidRDefault="006F21CD">
      <w:r>
        <w:separator/>
      </w:r>
    </w:p>
  </w:endnote>
  <w:endnote w:type="continuationSeparator" w:id="0">
    <w:p w14:paraId="3D9859C4" w14:textId="77777777" w:rsidR="006F21CD" w:rsidRDefault="006F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ohit Hindi">
    <w:altName w:val="Times New Roman"/>
    <w:charset w:val="00"/>
    <w:family w:val="auto"/>
    <w:pitch w:val="variable"/>
  </w:font>
  <w:font w:name="Liberation Sans">
    <w:charset w:val="00"/>
    <w:family w:val="swiss"/>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2FF" w:usb1="5000205B" w:usb2="00000020" w:usb3="00000000" w:csb0="0000019F" w:csb1="00000000"/>
  </w:font>
  <w:font w:name="Arial Nova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C6145" w14:textId="77777777" w:rsidR="001F1F48" w:rsidRDefault="005A6698">
    <w:pPr>
      <w:pBdr>
        <w:top w:val="nil"/>
        <w:left w:val="nil"/>
        <w:bottom w:val="nil"/>
        <w:right w:val="nil"/>
        <w:between w:val="nil"/>
      </w:pBdr>
      <w:spacing w:line="14" w:lineRule="auto"/>
      <w:rPr>
        <w:color w:val="000000"/>
        <w:sz w:val="20"/>
        <w:szCs w:val="20"/>
      </w:rPr>
    </w:pPr>
    <w:r>
      <w:rPr>
        <w:noProof/>
      </w:rPr>
      <w:drawing>
        <wp:anchor distT="0" distB="0" distL="0" distR="0" simplePos="0" relativeHeight="251660288" behindDoc="1" locked="0" layoutInCell="1" hidden="0" allowOverlap="1" wp14:anchorId="3D8378A0" wp14:editId="77B77A0C">
          <wp:simplePos x="0" y="0"/>
          <wp:positionH relativeFrom="column">
            <wp:posOffset>5439409</wp:posOffset>
          </wp:positionH>
          <wp:positionV relativeFrom="paragraph">
            <wp:posOffset>323570</wp:posOffset>
          </wp:positionV>
          <wp:extent cx="647699" cy="644525"/>
          <wp:effectExtent l="0" t="0" r="0" b="0"/>
          <wp:wrapNone/>
          <wp:docPr id="23"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
                  <a:srcRect/>
                  <a:stretch>
                    <a:fillRect/>
                  </a:stretch>
                </pic:blipFill>
                <pic:spPr>
                  <a:xfrm>
                    <a:off x="0" y="0"/>
                    <a:ext cx="647699" cy="644525"/>
                  </a:xfrm>
                  <a:prstGeom prst="rect">
                    <a:avLst/>
                  </a:prstGeom>
                  <a:ln/>
                </pic:spPr>
              </pic:pic>
            </a:graphicData>
          </a:graphic>
        </wp:anchor>
      </w:drawing>
    </w:r>
    <w:r>
      <w:rPr>
        <w:noProof/>
      </w:rPr>
      <mc:AlternateContent>
        <mc:Choice Requires="wps">
          <w:drawing>
            <wp:anchor distT="0" distB="0" distL="0" distR="0" simplePos="0" relativeHeight="251661312" behindDoc="1" locked="0" layoutInCell="1" hidden="0" allowOverlap="1" wp14:anchorId="54D21C17" wp14:editId="1B8C7068">
              <wp:simplePos x="0" y="0"/>
              <wp:positionH relativeFrom="column">
                <wp:posOffset>1588135</wp:posOffset>
              </wp:positionH>
              <wp:positionV relativeFrom="paragraph">
                <wp:posOffset>8663940</wp:posOffset>
              </wp:positionV>
              <wp:extent cx="0" cy="762000"/>
              <wp:effectExtent l="0" t="0" r="0" b="0"/>
              <wp:wrapNone/>
              <wp:docPr id="2144710851" name="Conector recto de flecha 2144710851"/>
              <wp:cNvGraphicFramePr/>
              <a:graphic xmlns:a="http://schemas.openxmlformats.org/drawingml/2006/main">
                <a:graphicData uri="http://schemas.microsoft.com/office/word/2010/wordprocessingShape">
                  <wps:wsp>
                    <wps:cNvCnPr/>
                    <wps:spPr>
                      <a:xfrm>
                        <a:off x="5346000" y="3399000"/>
                        <a:ext cx="0" cy="7620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1588135</wp:posOffset>
              </wp:positionH>
              <wp:positionV relativeFrom="paragraph">
                <wp:posOffset>8663940</wp:posOffset>
              </wp:positionV>
              <wp:extent cx="0" cy="762000"/>
              <wp:effectExtent b="0" l="0" r="0" t="0"/>
              <wp:wrapNone/>
              <wp:docPr id="2144710851" name="image26.png"/>
              <a:graphic>
                <a:graphicData uri="http://schemas.openxmlformats.org/drawingml/2006/picture">
                  <pic:pic>
                    <pic:nvPicPr>
                      <pic:cNvPr id="0" name="image26.png"/>
                      <pic:cNvPicPr preferRelativeResize="0"/>
                    </pic:nvPicPr>
                    <pic:blipFill>
                      <a:blip r:embed="rId2"/>
                      <a:srcRect/>
                      <a:stretch>
                        <a:fillRect/>
                      </a:stretch>
                    </pic:blipFill>
                    <pic:spPr>
                      <a:xfrm>
                        <a:off x="0" y="0"/>
                        <a:ext cx="0" cy="762000"/>
                      </a:xfrm>
                      <a:prstGeom prst="rect"/>
                      <a:ln/>
                    </pic:spPr>
                  </pic:pic>
                </a:graphicData>
              </a:graphic>
            </wp:anchor>
          </w:drawing>
        </mc:Fallback>
      </mc:AlternateContent>
    </w:r>
    <w:r>
      <w:rPr>
        <w:noProof/>
      </w:rPr>
      <mc:AlternateContent>
        <mc:Choice Requires="wps">
          <w:drawing>
            <wp:anchor distT="0" distB="0" distL="0" distR="0" simplePos="0" relativeHeight="251662336" behindDoc="1" locked="0" layoutInCell="1" hidden="0" allowOverlap="1" wp14:anchorId="75C0F548" wp14:editId="068ED182">
              <wp:simplePos x="0" y="0"/>
              <wp:positionH relativeFrom="column">
                <wp:posOffset>5409883</wp:posOffset>
              </wp:positionH>
              <wp:positionV relativeFrom="paragraph">
                <wp:posOffset>8340408</wp:posOffset>
              </wp:positionV>
              <wp:extent cx="693420" cy="149860"/>
              <wp:effectExtent l="0" t="0" r="0" b="0"/>
              <wp:wrapNone/>
              <wp:docPr id="2144710850" name="Rectángulo 2144710850"/>
              <wp:cNvGraphicFramePr/>
              <a:graphic xmlns:a="http://schemas.openxmlformats.org/drawingml/2006/main">
                <a:graphicData uri="http://schemas.microsoft.com/office/word/2010/wordprocessingShape">
                  <wps:wsp>
                    <wps:cNvSpPr/>
                    <wps:spPr>
                      <a:xfrm>
                        <a:off x="5004053" y="3709833"/>
                        <a:ext cx="683895" cy="140335"/>
                      </a:xfrm>
                      <a:prstGeom prst="rect">
                        <a:avLst/>
                      </a:prstGeom>
                      <a:noFill/>
                      <a:ln>
                        <a:noFill/>
                      </a:ln>
                    </wps:spPr>
                    <wps:txbx>
                      <w:txbxContent>
                        <w:p w14:paraId="74B7489C" w14:textId="77777777" w:rsidR="001F1F48" w:rsidRDefault="005A6698">
                          <w:pPr>
                            <w:spacing w:before="8"/>
                            <w:ind w:left="20" w:firstLine="20"/>
                            <w:textDirection w:val="btLr"/>
                          </w:pPr>
                          <w:proofErr w:type="gramStart"/>
                          <w:r>
                            <w:rPr>
                              <w:color w:val="000000"/>
                              <w:sz w:val="16"/>
                            </w:rPr>
                            <w:t>Página  PAGE</w:t>
                          </w:r>
                          <w:proofErr w:type="gramEnd"/>
                          <w:r>
                            <w:rPr>
                              <w:color w:val="000000"/>
                              <w:sz w:val="16"/>
                            </w:rPr>
                            <w:t xml:space="preserve"> </w:t>
                          </w:r>
                          <w:r>
                            <w:rPr>
                              <w:color w:val="000000"/>
                            </w:rPr>
                            <w:t>33</w:t>
                          </w:r>
                          <w:r>
                            <w:rPr>
                              <w:color w:val="000000"/>
                              <w:sz w:val="16"/>
                            </w:rPr>
                            <w:t xml:space="preserve"> de 45</w:t>
                          </w:r>
                        </w:p>
                      </w:txbxContent>
                    </wps:txbx>
                    <wps:bodyPr spcFirstLastPara="1" wrap="square" lIns="0" tIns="0" rIns="0" bIns="0" anchor="t" anchorCtr="0">
                      <a:noAutofit/>
                    </wps:bodyPr>
                  </wps:wsp>
                </a:graphicData>
              </a:graphic>
            </wp:anchor>
          </w:drawing>
        </mc:Choice>
        <mc:Fallback>
          <w:pict>
            <v:rect w14:anchorId="75C0F548" id="Rectángulo 2144710850" o:spid="_x0000_s1027" style="position:absolute;margin-left:426pt;margin-top:656.75pt;width:54.6pt;height:11.8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" filled="f" stroked="f">
              <v:textbox inset="0,0,0,0">
                <w:txbxContent>
                  <w:p w14:paraId="74B7489C" w14:textId="77777777" w:rsidR="001F1F48" w:rsidRDefault="005A6698">
                    <w:pPr>
                      <w:spacing w:before="8"/>
                      <w:ind w:left="20" w:firstLine="20"/>
                      <w:textDirection w:val="btLr"/>
                    </w:pPr>
                    <w:proofErr w:type="gramStart"/>
                    <w:r>
                      <w:rPr>
                        <w:color w:val="000000"/>
                        <w:sz w:val="16"/>
                      </w:rPr>
                      <w:t>Página  PAGE</w:t>
                    </w:r>
                    <w:proofErr w:type="gramEnd"/>
                    <w:r>
                      <w:rPr>
                        <w:color w:val="000000"/>
                        <w:sz w:val="16"/>
                      </w:rPr>
                      <w:t xml:space="preserve"> </w:t>
                    </w:r>
                    <w:r>
                      <w:rPr>
                        <w:color w:val="000000"/>
                      </w:rPr>
                      <w:t>33</w:t>
                    </w:r>
                    <w:r>
                      <w:rPr>
                        <w:color w:val="000000"/>
                        <w:sz w:val="16"/>
                      </w:rPr>
                      <w:t xml:space="preserve"> de 45</w:t>
                    </w:r>
                  </w:p>
                </w:txbxContent>
              </v:textbox>
            </v:rect>
          </w:pict>
        </mc:Fallback>
      </mc:AlternateContent>
    </w:r>
    <w:r>
      <w:rPr>
        <w:noProof/>
      </w:rPr>
      <mc:AlternateContent>
        <mc:Choice Requires="wps">
          <w:drawing>
            <wp:anchor distT="0" distB="0" distL="0" distR="0" simplePos="0" relativeHeight="251663360" behindDoc="1" locked="0" layoutInCell="1" hidden="0" allowOverlap="1" wp14:anchorId="30080F91" wp14:editId="4049EF03">
              <wp:simplePos x="0" y="0"/>
              <wp:positionH relativeFrom="column">
                <wp:posOffset>-37781</wp:posOffset>
              </wp:positionH>
              <wp:positionV relativeFrom="paragraph">
                <wp:posOffset>8628698</wp:posOffset>
              </wp:positionV>
              <wp:extent cx="2150745" cy="794385"/>
              <wp:effectExtent l="0" t="0" r="0" b="0"/>
              <wp:wrapNone/>
              <wp:docPr id="2144710849" name="Rectángulo 2144710849"/>
              <wp:cNvGraphicFramePr/>
              <a:graphic xmlns:a="http://schemas.openxmlformats.org/drawingml/2006/main">
                <a:graphicData uri="http://schemas.microsoft.com/office/word/2010/wordprocessingShape">
                  <wps:wsp>
                    <wps:cNvSpPr/>
                    <wps:spPr>
                      <a:xfrm>
                        <a:off x="4275390" y="3387570"/>
                        <a:ext cx="2141220" cy="784860"/>
                      </a:xfrm>
                      <a:prstGeom prst="rect">
                        <a:avLst/>
                      </a:prstGeom>
                      <a:noFill/>
                      <a:ln>
                        <a:noFill/>
                      </a:ln>
                    </wps:spPr>
                    <wps:txbx>
                      <w:txbxContent>
                        <w:p w14:paraId="089DF7BF" w14:textId="77777777" w:rsidR="001F1F48" w:rsidRDefault="001F1F48">
                          <w:pPr>
                            <w:ind w:left="20" w:right="648" w:firstLine="20"/>
                            <w:textDirection w:val="btLr"/>
                          </w:pPr>
                        </w:p>
                        <w:p w14:paraId="2F360519" w14:textId="77777777" w:rsidR="001F1F48" w:rsidRDefault="005A6698">
                          <w:pPr>
                            <w:ind w:left="20" w:right="648" w:firstLine="20"/>
                            <w:textDirection w:val="btLr"/>
                          </w:pPr>
                          <w:r>
                            <w:rPr>
                              <w:rFonts w:ascii="Arial" w:eastAsia="Arial" w:hAnsi="Arial" w:cs="Arial"/>
                              <w:b/>
                              <w:color w:val="000000"/>
                              <w:sz w:val="16"/>
                            </w:rPr>
                            <w:t>Alcaldía Local de San Cristóbal</w:t>
                          </w:r>
                        </w:p>
                        <w:p w14:paraId="466E5817" w14:textId="77777777" w:rsidR="001F1F48" w:rsidRDefault="005A6698">
                          <w:pPr>
                            <w:ind w:left="20" w:right="648" w:firstLine="20"/>
                            <w:textDirection w:val="btLr"/>
                          </w:pPr>
                          <w:r>
                            <w:rPr>
                              <w:rFonts w:ascii="Arial" w:eastAsia="Arial" w:hAnsi="Arial" w:cs="Arial"/>
                              <w:b/>
                              <w:color w:val="000000"/>
                              <w:sz w:val="16"/>
                            </w:rPr>
                            <w:t xml:space="preserve">Avenida 1 de </w:t>
                          </w:r>
                          <w:proofErr w:type="gramStart"/>
                          <w:r>
                            <w:rPr>
                              <w:rFonts w:ascii="Arial" w:eastAsia="Arial" w:hAnsi="Arial" w:cs="Arial"/>
                              <w:b/>
                              <w:color w:val="000000"/>
                              <w:sz w:val="16"/>
                            </w:rPr>
                            <w:t>Mayo</w:t>
                          </w:r>
                          <w:proofErr w:type="gramEnd"/>
                          <w:r>
                            <w:rPr>
                              <w:rFonts w:ascii="Arial" w:eastAsia="Arial" w:hAnsi="Arial" w:cs="Arial"/>
                              <w:b/>
                              <w:color w:val="000000"/>
                              <w:sz w:val="16"/>
                            </w:rPr>
                            <w:t xml:space="preserve"> No. 1 - 40 Sur</w:t>
                          </w:r>
                        </w:p>
                        <w:p w14:paraId="12363330" w14:textId="77777777" w:rsidR="001F1F48" w:rsidRDefault="005A6698">
                          <w:pPr>
                            <w:ind w:left="20" w:right="648" w:firstLine="20"/>
                            <w:textDirection w:val="btLr"/>
                          </w:pPr>
                          <w:r>
                            <w:rPr>
                              <w:rFonts w:ascii="Arial" w:eastAsia="Arial" w:hAnsi="Arial" w:cs="Arial"/>
                              <w:b/>
                              <w:color w:val="000000"/>
                              <w:sz w:val="16"/>
                            </w:rPr>
                            <w:t>Código Postal: 110421</w:t>
                          </w:r>
                        </w:p>
                        <w:p w14:paraId="44568131" w14:textId="77777777" w:rsidR="001F1F48" w:rsidRDefault="005A6698">
                          <w:pPr>
                            <w:ind w:left="20" w:right="648" w:firstLine="20"/>
                            <w:textDirection w:val="btLr"/>
                          </w:pPr>
                          <w:r>
                            <w:rPr>
                              <w:rFonts w:ascii="Arial" w:eastAsia="Arial" w:hAnsi="Arial" w:cs="Arial"/>
                              <w:b/>
                              <w:color w:val="000000"/>
                              <w:sz w:val="16"/>
                            </w:rPr>
                            <w:t xml:space="preserve">Tel. 57 (601) 382 06 </w:t>
                          </w:r>
                        </w:p>
                      </w:txbxContent>
                    </wps:txbx>
                    <wps:bodyPr spcFirstLastPara="1" wrap="square" lIns="0" tIns="0" rIns="0" bIns="0" anchor="t" anchorCtr="0">
                      <a:noAutofit/>
                    </wps:bodyPr>
                  </wps:wsp>
                </a:graphicData>
              </a:graphic>
            </wp:anchor>
          </w:drawing>
        </mc:Choice>
        <mc:Fallback>
          <w:pict>
            <v:rect w14:anchorId="30080F91" id="Rectángulo 2144710849" o:spid="_x0000_s1028" style="position:absolute;margin-left:-2.95pt;margin-top:679.45pt;width:169.35pt;height:62.55pt;z-index:-2516531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" filled="f" stroked="f">
              <v:textbox inset="0,0,0,0">
                <w:txbxContent>
                  <w:p w14:paraId="089DF7BF" w14:textId="77777777" w:rsidR="001F1F48" w:rsidRDefault="001F1F48">
                    <w:pPr>
                      <w:ind w:left="20" w:right="648" w:firstLine="20"/>
                      <w:textDirection w:val="btLr"/>
                    </w:pPr>
                  </w:p>
                  <w:p w14:paraId="2F360519" w14:textId="77777777" w:rsidR="001F1F48" w:rsidRDefault="005A6698">
                    <w:pPr>
                      <w:ind w:left="20" w:right="648" w:firstLine="20"/>
                      <w:textDirection w:val="btLr"/>
                    </w:pPr>
                    <w:r>
                      <w:rPr>
                        <w:rFonts w:ascii="Arial" w:eastAsia="Arial" w:hAnsi="Arial" w:cs="Arial"/>
                        <w:b/>
                        <w:color w:val="000000"/>
                        <w:sz w:val="16"/>
                      </w:rPr>
                      <w:t>Alcaldía Local de San Cristóbal</w:t>
                    </w:r>
                  </w:p>
                  <w:p w14:paraId="466E5817" w14:textId="77777777" w:rsidR="001F1F48" w:rsidRDefault="005A6698">
                    <w:pPr>
                      <w:ind w:left="20" w:right="648" w:firstLine="20"/>
                      <w:textDirection w:val="btLr"/>
                    </w:pPr>
                    <w:r>
                      <w:rPr>
                        <w:rFonts w:ascii="Arial" w:eastAsia="Arial" w:hAnsi="Arial" w:cs="Arial"/>
                        <w:b/>
                        <w:color w:val="000000"/>
                        <w:sz w:val="16"/>
                      </w:rPr>
                      <w:t xml:space="preserve">Avenida 1 de </w:t>
                    </w:r>
                    <w:proofErr w:type="gramStart"/>
                    <w:r>
                      <w:rPr>
                        <w:rFonts w:ascii="Arial" w:eastAsia="Arial" w:hAnsi="Arial" w:cs="Arial"/>
                        <w:b/>
                        <w:color w:val="000000"/>
                        <w:sz w:val="16"/>
                      </w:rPr>
                      <w:t>Mayo</w:t>
                    </w:r>
                    <w:proofErr w:type="gramEnd"/>
                    <w:r>
                      <w:rPr>
                        <w:rFonts w:ascii="Arial" w:eastAsia="Arial" w:hAnsi="Arial" w:cs="Arial"/>
                        <w:b/>
                        <w:color w:val="000000"/>
                        <w:sz w:val="16"/>
                      </w:rPr>
                      <w:t xml:space="preserve"> No. 1 - 40 Sur</w:t>
                    </w:r>
                  </w:p>
                  <w:p w14:paraId="12363330" w14:textId="77777777" w:rsidR="001F1F48" w:rsidRDefault="005A6698">
                    <w:pPr>
                      <w:ind w:left="20" w:right="648" w:firstLine="20"/>
                      <w:textDirection w:val="btLr"/>
                    </w:pPr>
                    <w:r>
                      <w:rPr>
                        <w:rFonts w:ascii="Arial" w:eastAsia="Arial" w:hAnsi="Arial" w:cs="Arial"/>
                        <w:b/>
                        <w:color w:val="000000"/>
                        <w:sz w:val="16"/>
                      </w:rPr>
                      <w:t>Código Postal: 110421</w:t>
                    </w:r>
                  </w:p>
                  <w:p w14:paraId="44568131" w14:textId="77777777" w:rsidR="001F1F48" w:rsidRDefault="005A6698">
                    <w:pPr>
                      <w:ind w:left="20" w:right="648" w:firstLine="20"/>
                      <w:textDirection w:val="btLr"/>
                    </w:pPr>
                    <w:r>
                      <w:rPr>
                        <w:rFonts w:ascii="Arial" w:eastAsia="Arial" w:hAnsi="Arial" w:cs="Arial"/>
                        <w:b/>
                        <w:color w:val="000000"/>
                        <w:sz w:val="16"/>
                      </w:rPr>
                      <w:t xml:space="preserve">Tel. 57 (601) 382 06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9472" w14:textId="77777777" w:rsidR="006F21CD" w:rsidRDefault="006F21CD">
      <w:r>
        <w:separator/>
      </w:r>
    </w:p>
  </w:footnote>
  <w:footnote w:type="continuationSeparator" w:id="0">
    <w:p w14:paraId="01637B99" w14:textId="77777777" w:rsidR="006F21CD" w:rsidRDefault="006F2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5CF9C" w14:textId="77777777" w:rsidR="001F1F48" w:rsidRDefault="005A6698">
    <w:pPr>
      <w:pBdr>
        <w:top w:val="nil"/>
        <w:left w:val="nil"/>
        <w:bottom w:val="nil"/>
        <w:right w:val="nil"/>
        <w:between w:val="nil"/>
      </w:pBdr>
      <w:spacing w:line="14" w:lineRule="auto"/>
      <w:rPr>
        <w:color w:val="000000"/>
        <w:sz w:val="20"/>
        <w:szCs w:val="20"/>
      </w:rPr>
    </w:pPr>
    <w:r>
      <w:rPr>
        <w:noProof/>
        <w:color w:val="000000"/>
        <w:sz w:val="24"/>
        <w:szCs w:val="24"/>
      </w:rPr>
      <mc:AlternateContent>
        <mc:Choice Requires="wps">
          <w:drawing>
            <wp:anchor distT="0" distB="0" distL="0" distR="0" simplePos="0" relativeHeight="251658240" behindDoc="1" locked="0" layoutInCell="1" hidden="0" allowOverlap="1" wp14:anchorId="044EEE04" wp14:editId="630DC254">
              <wp:simplePos x="0" y="0"/>
              <wp:positionH relativeFrom="page">
                <wp:posOffset>3715067</wp:posOffset>
              </wp:positionH>
              <wp:positionV relativeFrom="page">
                <wp:posOffset>729298</wp:posOffset>
              </wp:positionV>
              <wp:extent cx="3110865" cy="749300"/>
              <wp:effectExtent l="0" t="0" r="0" b="0"/>
              <wp:wrapNone/>
              <wp:docPr id="2144710853" name="Rectángulo 2144710853"/>
              <wp:cNvGraphicFramePr/>
              <a:graphic xmlns:a="http://schemas.openxmlformats.org/drawingml/2006/main">
                <a:graphicData uri="http://schemas.microsoft.com/office/word/2010/wordprocessingShape">
                  <wps:wsp>
                    <wps:cNvSpPr/>
                    <wps:spPr>
                      <a:xfrm>
                        <a:off x="3795330" y="3410113"/>
                        <a:ext cx="3101340" cy="739775"/>
                      </a:xfrm>
                      <a:prstGeom prst="rect">
                        <a:avLst/>
                      </a:prstGeom>
                      <a:noFill/>
                      <a:ln>
                        <a:noFill/>
                      </a:ln>
                    </wps:spPr>
                    <wps:txbx>
                      <w:txbxContent>
                        <w:p w14:paraId="1E0150DC" w14:textId="77777777" w:rsidR="001F1F48" w:rsidRDefault="005A6698">
                          <w:pPr>
                            <w:spacing w:before="2" w:line="391" w:lineRule="auto"/>
                            <w:ind w:right="60" w:hanging="20"/>
                            <w:jc w:val="center"/>
                            <w:textDirection w:val="btLr"/>
                          </w:pPr>
                          <w:r>
                            <w:rPr>
                              <w:rFonts w:ascii="Garamond" w:eastAsia="Garamond" w:hAnsi="Garamond" w:cs="Garamond"/>
                              <w:b/>
                              <w:color w:val="000000"/>
                              <w:sz w:val="24"/>
                            </w:rPr>
                            <w:t>ANÁLISIS DEL SECTOR</w:t>
                          </w:r>
                        </w:p>
                        <w:p w14:paraId="3387DA6B" w14:textId="77777777" w:rsidR="001F1F48" w:rsidRDefault="005A6698">
                          <w:pPr>
                            <w:spacing w:before="2" w:line="391" w:lineRule="auto"/>
                            <w:ind w:right="60" w:hanging="20"/>
                            <w:jc w:val="center"/>
                            <w:textDirection w:val="btLr"/>
                          </w:pPr>
                          <w:r>
                            <w:rPr>
                              <w:rFonts w:ascii="Garamond" w:eastAsia="Garamond" w:hAnsi="Garamond" w:cs="Garamond"/>
                              <w:b/>
                              <w:color w:val="000000"/>
                              <w:sz w:val="24"/>
                            </w:rPr>
                            <w:t xml:space="preserve"> LICITACION PUBLICA</w:t>
                          </w:r>
                        </w:p>
                        <w:p w14:paraId="7DD3142F" w14:textId="77777777" w:rsidR="001F1F48" w:rsidRDefault="005A6698">
                          <w:pPr>
                            <w:spacing w:line="230" w:lineRule="auto"/>
                            <w:ind w:right="60" w:hanging="20"/>
                            <w:jc w:val="center"/>
                            <w:textDirection w:val="btLr"/>
                          </w:pPr>
                          <w:r>
                            <w:rPr>
                              <w:rFonts w:ascii="Garamond" w:eastAsia="Garamond" w:hAnsi="Garamond" w:cs="Garamond"/>
                              <w:b/>
                              <w:color w:val="000000"/>
                              <w:sz w:val="24"/>
                            </w:rPr>
                            <w:t>ALCALDIA LOCAL DE SAN CRISTÓBAL</w:t>
                          </w:r>
                        </w:p>
                      </w:txbxContent>
                    </wps:txbx>
                    <wps:bodyPr spcFirstLastPara="1" wrap="square" lIns="0" tIns="0" rIns="0" bIns="0" anchor="t" anchorCtr="0">
                      <a:noAutofit/>
                    </wps:bodyPr>
                  </wps:wsp>
                </a:graphicData>
              </a:graphic>
            </wp:anchor>
          </w:drawing>
        </mc:Choice>
        <mc:Fallback>
          <w:pict>
            <v:rect w14:anchorId="044EEE04" id="Rectángulo 2144710853" o:spid="_x0000_s1026" style="position:absolute;margin-left:292.5pt;margin-top:57.45pt;width:244.95pt;height:5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" filled="f" stroked="f">
              <v:textbox inset="0,0,0,0">
                <w:txbxContent>
                  <w:p w14:paraId="1E0150DC" w14:textId="77777777" w:rsidR="001F1F48" w:rsidRDefault="005A6698">
                    <w:pPr>
                      <w:spacing w:before="2" w:line="391" w:lineRule="auto"/>
                      <w:ind w:right="60" w:hanging="20"/>
                      <w:jc w:val="center"/>
                      <w:textDirection w:val="btLr"/>
                    </w:pPr>
                    <w:r>
                      <w:rPr>
                        <w:rFonts w:ascii="Garamond" w:eastAsia="Garamond" w:hAnsi="Garamond" w:cs="Garamond"/>
                        <w:b/>
                        <w:color w:val="000000"/>
                        <w:sz w:val="24"/>
                      </w:rPr>
                      <w:t>ANÁLISIS DEL SECTOR</w:t>
                    </w:r>
                  </w:p>
                  <w:p w14:paraId="3387DA6B" w14:textId="77777777" w:rsidR="001F1F48" w:rsidRDefault="005A6698">
                    <w:pPr>
                      <w:spacing w:before="2" w:line="391" w:lineRule="auto"/>
                      <w:ind w:right="60" w:hanging="20"/>
                      <w:jc w:val="center"/>
                      <w:textDirection w:val="btLr"/>
                    </w:pPr>
                    <w:r>
                      <w:rPr>
                        <w:rFonts w:ascii="Garamond" w:eastAsia="Garamond" w:hAnsi="Garamond" w:cs="Garamond"/>
                        <w:b/>
                        <w:color w:val="000000"/>
                        <w:sz w:val="24"/>
                      </w:rPr>
                      <w:t xml:space="preserve"> LICITACION PUBLICA</w:t>
                    </w:r>
                  </w:p>
                  <w:p w14:paraId="7DD3142F" w14:textId="77777777" w:rsidR="001F1F48" w:rsidRDefault="005A6698">
                    <w:pPr>
                      <w:spacing w:line="230" w:lineRule="auto"/>
                      <w:ind w:right="60" w:hanging="20"/>
                      <w:jc w:val="center"/>
                      <w:textDirection w:val="btLr"/>
                    </w:pPr>
                    <w:r>
                      <w:rPr>
                        <w:rFonts w:ascii="Garamond" w:eastAsia="Garamond" w:hAnsi="Garamond" w:cs="Garamond"/>
                        <w:b/>
                        <w:color w:val="000000"/>
                        <w:sz w:val="24"/>
                      </w:rPr>
                      <w:t>ALCALDIA LOCAL DE SAN CRISTÓBAL</w:t>
                    </w:r>
                  </w:p>
                </w:txbxContent>
              </v:textbox>
              <w10:wrap anchorx="page" anchory="page"/>
            </v:rect>
          </w:pict>
        </mc:Fallback>
      </mc:AlternateContent>
    </w:r>
    <w:r>
      <w:rPr>
        <w:noProof/>
        <w:color w:val="000000"/>
        <w:sz w:val="24"/>
        <w:szCs w:val="24"/>
      </w:rPr>
      <w:drawing>
        <wp:anchor distT="0" distB="0" distL="0" distR="0" simplePos="0" relativeHeight="251659264" behindDoc="1" locked="0" layoutInCell="1" hidden="0" allowOverlap="1" wp14:anchorId="21E4F72B" wp14:editId="67EB009D">
          <wp:simplePos x="0" y="0"/>
          <wp:positionH relativeFrom="page">
            <wp:posOffset>1009332</wp:posOffset>
          </wp:positionH>
          <wp:positionV relativeFrom="page">
            <wp:posOffset>696165</wp:posOffset>
          </wp:positionV>
          <wp:extent cx="2057096" cy="504939"/>
          <wp:effectExtent l="0" t="0" r="0" b="0"/>
          <wp:wrapNone/>
          <wp:docPr id="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057096" cy="504939"/>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2CD"/>
    <w:multiLevelType w:val="multilevel"/>
    <w:tmpl w:val="5B8C66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432027"/>
    <w:multiLevelType w:val="multilevel"/>
    <w:tmpl w:val="41FA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D74728"/>
    <w:multiLevelType w:val="multilevel"/>
    <w:tmpl w:val="1FE86D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1F83B4C"/>
    <w:multiLevelType w:val="multilevel"/>
    <w:tmpl w:val="413A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D2083"/>
    <w:multiLevelType w:val="multilevel"/>
    <w:tmpl w:val="FE6291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6587D64"/>
    <w:multiLevelType w:val="multilevel"/>
    <w:tmpl w:val="55808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993386"/>
    <w:multiLevelType w:val="multilevel"/>
    <w:tmpl w:val="8FE49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A26D90"/>
    <w:multiLevelType w:val="multilevel"/>
    <w:tmpl w:val="F8846F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977A8F"/>
    <w:multiLevelType w:val="multilevel"/>
    <w:tmpl w:val="292E2D8C"/>
    <w:lvl w:ilvl="0">
      <w:start w:val="1"/>
      <w:numFmt w:val="decimal"/>
      <w:lvlText w:val="%1."/>
      <w:lvlJc w:val="left"/>
      <w:pPr>
        <w:ind w:left="982" w:hanging="360"/>
      </w:pPr>
      <w:rPr>
        <w:rFonts w:ascii="Times New Roman" w:eastAsia="Times New Roman" w:hAnsi="Times New Roman" w:cs="Times New Roman"/>
        <w:b/>
        <w:i w:val="0"/>
        <w:sz w:val="22"/>
        <w:szCs w:val="22"/>
      </w:rPr>
    </w:lvl>
    <w:lvl w:ilvl="1">
      <w:start w:val="1"/>
      <w:numFmt w:val="decimal"/>
      <w:lvlText w:val="%1.%2."/>
      <w:lvlJc w:val="left"/>
      <w:pPr>
        <w:ind w:left="1342" w:hanging="720"/>
      </w:pPr>
    </w:lvl>
    <w:lvl w:ilvl="2">
      <w:start w:val="1"/>
      <w:numFmt w:val="decimal"/>
      <w:lvlText w:val="%1.%2.%3."/>
      <w:lvlJc w:val="left"/>
      <w:pPr>
        <w:ind w:left="1342" w:hanging="720"/>
      </w:pPr>
      <w:rPr>
        <w:rFonts w:ascii="Times New Roman" w:eastAsia="Times New Roman" w:hAnsi="Times New Roman" w:cs="Times New Roman"/>
        <w:b/>
        <w:i w:val="0"/>
        <w:sz w:val="22"/>
        <w:szCs w:val="22"/>
      </w:rPr>
    </w:lvl>
    <w:lvl w:ilvl="3">
      <w:numFmt w:val="bullet"/>
      <w:lvlText w:val="●"/>
      <w:lvlJc w:val="left"/>
      <w:pPr>
        <w:ind w:left="982" w:hanging="720"/>
      </w:pPr>
      <w:rPr>
        <w:rFonts w:ascii="Noto Sans Symbols" w:eastAsia="Noto Sans Symbols" w:hAnsi="Noto Sans Symbols" w:cs="Noto Sans Symbols"/>
      </w:rPr>
    </w:lvl>
    <w:lvl w:ilvl="4">
      <w:numFmt w:val="bullet"/>
      <w:lvlText w:val="•"/>
      <w:lvlJc w:val="left"/>
      <w:pPr>
        <w:ind w:left="4013" w:hanging="720"/>
      </w:pPr>
    </w:lvl>
    <w:lvl w:ilvl="5">
      <w:numFmt w:val="bullet"/>
      <w:lvlText w:val="•"/>
      <w:lvlJc w:val="left"/>
      <w:pPr>
        <w:ind w:left="4904" w:hanging="720"/>
      </w:pPr>
    </w:lvl>
    <w:lvl w:ilvl="6">
      <w:numFmt w:val="bullet"/>
      <w:lvlText w:val="•"/>
      <w:lvlJc w:val="left"/>
      <w:pPr>
        <w:ind w:left="5795" w:hanging="720"/>
      </w:pPr>
    </w:lvl>
    <w:lvl w:ilvl="7">
      <w:numFmt w:val="bullet"/>
      <w:lvlText w:val="•"/>
      <w:lvlJc w:val="left"/>
      <w:pPr>
        <w:ind w:left="6686" w:hanging="720"/>
      </w:pPr>
    </w:lvl>
    <w:lvl w:ilvl="8">
      <w:numFmt w:val="bullet"/>
      <w:lvlText w:val="•"/>
      <w:lvlJc w:val="left"/>
      <w:pPr>
        <w:ind w:left="7577" w:hanging="720"/>
      </w:pPr>
    </w:lvl>
  </w:abstractNum>
  <w:abstractNum w:abstractNumId="9" w15:restartNumberingAfterBreak="0">
    <w:nsid w:val="0C293E73"/>
    <w:multiLevelType w:val="multilevel"/>
    <w:tmpl w:val="FBCC7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D4FF4"/>
    <w:multiLevelType w:val="multilevel"/>
    <w:tmpl w:val="F6CA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BC7D61"/>
    <w:multiLevelType w:val="multilevel"/>
    <w:tmpl w:val="A7807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F33D46"/>
    <w:multiLevelType w:val="multilevel"/>
    <w:tmpl w:val="BCB2B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0A2065"/>
    <w:multiLevelType w:val="multilevel"/>
    <w:tmpl w:val="D90A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F939D4"/>
    <w:multiLevelType w:val="multilevel"/>
    <w:tmpl w:val="628C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F567B1"/>
    <w:multiLevelType w:val="multilevel"/>
    <w:tmpl w:val="73D08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5966B7"/>
    <w:multiLevelType w:val="multilevel"/>
    <w:tmpl w:val="90EE8E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4934EBC"/>
    <w:multiLevelType w:val="multilevel"/>
    <w:tmpl w:val="8286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9C536A"/>
    <w:multiLevelType w:val="multilevel"/>
    <w:tmpl w:val="9FA8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80114A"/>
    <w:multiLevelType w:val="multilevel"/>
    <w:tmpl w:val="FD2E53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F0346D8"/>
    <w:multiLevelType w:val="multilevel"/>
    <w:tmpl w:val="3E9A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C2446F"/>
    <w:multiLevelType w:val="multilevel"/>
    <w:tmpl w:val="27C2B866"/>
    <w:lvl w:ilvl="0">
      <w:start w:val="6"/>
      <w:numFmt w:val="decimal"/>
      <w:lvlText w:val="%1."/>
      <w:lvlJc w:val="left"/>
      <w:pPr>
        <w:ind w:left="612" w:hanging="612"/>
      </w:pPr>
      <w:rPr>
        <w:rFonts w:hint="default"/>
        <w:b/>
      </w:rPr>
    </w:lvl>
    <w:lvl w:ilvl="1">
      <w:start w:val="2"/>
      <w:numFmt w:val="decimal"/>
      <w:lvlText w:val="%1.%2."/>
      <w:lvlJc w:val="left"/>
      <w:pPr>
        <w:ind w:left="870" w:hanging="720"/>
      </w:pPr>
      <w:rPr>
        <w:rFonts w:hint="default"/>
        <w:b/>
      </w:rPr>
    </w:lvl>
    <w:lvl w:ilvl="2">
      <w:start w:val="1"/>
      <w:numFmt w:val="decimal"/>
      <w:lvlText w:val="%1.%2.%3."/>
      <w:lvlJc w:val="left"/>
      <w:pPr>
        <w:ind w:left="1020" w:hanging="720"/>
      </w:pPr>
      <w:rPr>
        <w:rFonts w:hint="default"/>
        <w:b/>
      </w:rPr>
    </w:lvl>
    <w:lvl w:ilvl="3">
      <w:start w:val="1"/>
      <w:numFmt w:val="decimal"/>
      <w:lvlText w:val="%1.%2.%3.%4."/>
      <w:lvlJc w:val="left"/>
      <w:pPr>
        <w:ind w:left="1530" w:hanging="1080"/>
      </w:pPr>
      <w:rPr>
        <w:rFonts w:hint="default"/>
        <w:b/>
      </w:rPr>
    </w:lvl>
    <w:lvl w:ilvl="4">
      <w:start w:val="1"/>
      <w:numFmt w:val="decimal"/>
      <w:lvlText w:val="%1.%2.%3.%4.%5."/>
      <w:lvlJc w:val="left"/>
      <w:pPr>
        <w:ind w:left="1680" w:hanging="1080"/>
      </w:pPr>
      <w:rPr>
        <w:rFonts w:hint="default"/>
        <w:b/>
      </w:rPr>
    </w:lvl>
    <w:lvl w:ilvl="5">
      <w:start w:val="1"/>
      <w:numFmt w:val="decimal"/>
      <w:lvlText w:val="%1.%2.%3.%4.%5.%6."/>
      <w:lvlJc w:val="left"/>
      <w:pPr>
        <w:ind w:left="2190" w:hanging="1440"/>
      </w:pPr>
      <w:rPr>
        <w:rFonts w:hint="default"/>
        <w:b/>
      </w:rPr>
    </w:lvl>
    <w:lvl w:ilvl="6">
      <w:start w:val="1"/>
      <w:numFmt w:val="decimal"/>
      <w:lvlText w:val="%1.%2.%3.%4.%5.%6.%7."/>
      <w:lvlJc w:val="left"/>
      <w:pPr>
        <w:ind w:left="2340" w:hanging="1440"/>
      </w:pPr>
      <w:rPr>
        <w:rFonts w:hint="default"/>
        <w:b/>
      </w:rPr>
    </w:lvl>
    <w:lvl w:ilvl="7">
      <w:start w:val="1"/>
      <w:numFmt w:val="decimal"/>
      <w:lvlText w:val="%1.%2.%3.%4.%5.%6.%7.%8."/>
      <w:lvlJc w:val="left"/>
      <w:pPr>
        <w:ind w:left="2850" w:hanging="1800"/>
      </w:pPr>
      <w:rPr>
        <w:rFonts w:hint="default"/>
        <w:b/>
      </w:rPr>
    </w:lvl>
    <w:lvl w:ilvl="8">
      <w:start w:val="1"/>
      <w:numFmt w:val="decimal"/>
      <w:lvlText w:val="%1.%2.%3.%4.%5.%6.%7.%8.%9."/>
      <w:lvlJc w:val="left"/>
      <w:pPr>
        <w:ind w:left="3360" w:hanging="2160"/>
      </w:pPr>
      <w:rPr>
        <w:rFonts w:hint="default"/>
        <w:b/>
      </w:rPr>
    </w:lvl>
  </w:abstractNum>
  <w:abstractNum w:abstractNumId="22" w15:restartNumberingAfterBreak="0">
    <w:nsid w:val="38303827"/>
    <w:multiLevelType w:val="multilevel"/>
    <w:tmpl w:val="BF84A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024CB6"/>
    <w:multiLevelType w:val="multilevel"/>
    <w:tmpl w:val="4F865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4D3AD7"/>
    <w:multiLevelType w:val="multilevel"/>
    <w:tmpl w:val="0E264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158CB"/>
    <w:multiLevelType w:val="multilevel"/>
    <w:tmpl w:val="3CEED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FB0EA0"/>
    <w:multiLevelType w:val="multilevel"/>
    <w:tmpl w:val="808E2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081D31"/>
    <w:multiLevelType w:val="multilevel"/>
    <w:tmpl w:val="50B8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29588A"/>
    <w:multiLevelType w:val="hybridMultilevel"/>
    <w:tmpl w:val="D884F6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3097008"/>
    <w:multiLevelType w:val="multilevel"/>
    <w:tmpl w:val="529A7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BA35F8"/>
    <w:multiLevelType w:val="multilevel"/>
    <w:tmpl w:val="61D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1265A4"/>
    <w:multiLevelType w:val="multilevel"/>
    <w:tmpl w:val="04F0C6AE"/>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3C73003"/>
    <w:multiLevelType w:val="multilevel"/>
    <w:tmpl w:val="403E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710DB4"/>
    <w:multiLevelType w:val="multilevel"/>
    <w:tmpl w:val="AB4E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7B55C6"/>
    <w:multiLevelType w:val="multilevel"/>
    <w:tmpl w:val="B444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817944"/>
    <w:multiLevelType w:val="multilevel"/>
    <w:tmpl w:val="1298B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8E0FAC"/>
    <w:multiLevelType w:val="multilevel"/>
    <w:tmpl w:val="D9B0E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CE1AD3"/>
    <w:multiLevelType w:val="multilevel"/>
    <w:tmpl w:val="68AE6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231A17"/>
    <w:multiLevelType w:val="multilevel"/>
    <w:tmpl w:val="1250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C71DB2"/>
    <w:multiLevelType w:val="multilevel"/>
    <w:tmpl w:val="D75A4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8F0762"/>
    <w:multiLevelType w:val="multilevel"/>
    <w:tmpl w:val="C6B24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977246"/>
    <w:multiLevelType w:val="multilevel"/>
    <w:tmpl w:val="4CCC87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2C00919"/>
    <w:multiLevelType w:val="multilevel"/>
    <w:tmpl w:val="1E6A2006"/>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5F3C93"/>
    <w:multiLevelType w:val="multilevel"/>
    <w:tmpl w:val="1556D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544B50"/>
    <w:multiLevelType w:val="multilevel"/>
    <w:tmpl w:val="F21A9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4"/>
  </w:num>
  <w:num w:numId="3">
    <w:abstractNumId w:val="2"/>
  </w:num>
  <w:num w:numId="4">
    <w:abstractNumId w:val="41"/>
  </w:num>
  <w:num w:numId="5">
    <w:abstractNumId w:val="0"/>
  </w:num>
  <w:num w:numId="6">
    <w:abstractNumId w:val="16"/>
  </w:num>
  <w:num w:numId="7">
    <w:abstractNumId w:val="17"/>
  </w:num>
  <w:num w:numId="8">
    <w:abstractNumId w:val="31"/>
  </w:num>
  <w:num w:numId="9">
    <w:abstractNumId w:val="35"/>
  </w:num>
  <w:num w:numId="10">
    <w:abstractNumId w:val="38"/>
  </w:num>
  <w:num w:numId="11">
    <w:abstractNumId w:val="36"/>
  </w:num>
  <w:num w:numId="12">
    <w:abstractNumId w:val="24"/>
  </w:num>
  <w:num w:numId="13">
    <w:abstractNumId w:val="42"/>
  </w:num>
  <w:num w:numId="14">
    <w:abstractNumId w:val="44"/>
  </w:num>
  <w:num w:numId="15">
    <w:abstractNumId w:val="21"/>
  </w:num>
  <w:num w:numId="16">
    <w:abstractNumId w:val="7"/>
  </w:num>
  <w:num w:numId="17">
    <w:abstractNumId w:val="22"/>
  </w:num>
  <w:num w:numId="18">
    <w:abstractNumId w:val="15"/>
  </w:num>
  <w:num w:numId="19">
    <w:abstractNumId w:val="10"/>
  </w:num>
  <w:num w:numId="20">
    <w:abstractNumId w:val="12"/>
  </w:num>
  <w:num w:numId="21">
    <w:abstractNumId w:val="13"/>
  </w:num>
  <w:num w:numId="22">
    <w:abstractNumId w:val="28"/>
  </w:num>
  <w:num w:numId="23">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27"/>
  </w:num>
  <w:num w:numId="25">
    <w:abstractNumId w:val="26"/>
  </w:num>
  <w:num w:numId="26">
    <w:abstractNumId w:val="30"/>
  </w:num>
  <w:num w:numId="27">
    <w:abstractNumId w:val="1"/>
  </w:num>
  <w:num w:numId="28">
    <w:abstractNumId w:val="39"/>
  </w:num>
  <w:num w:numId="29">
    <w:abstractNumId w:val="43"/>
  </w:num>
  <w:num w:numId="30">
    <w:abstractNumId w:val="9"/>
  </w:num>
  <w:num w:numId="31">
    <w:abstractNumId w:val="33"/>
  </w:num>
  <w:num w:numId="32">
    <w:abstractNumId w:val="5"/>
  </w:num>
  <w:num w:numId="33">
    <w:abstractNumId w:val="6"/>
  </w:num>
  <w:num w:numId="34">
    <w:abstractNumId w:val="32"/>
  </w:num>
  <w:num w:numId="35">
    <w:abstractNumId w:val="14"/>
  </w:num>
  <w:num w:numId="36">
    <w:abstractNumId w:val="20"/>
  </w:num>
  <w:num w:numId="37">
    <w:abstractNumId w:val="29"/>
  </w:num>
  <w:num w:numId="38">
    <w:abstractNumId w:val="3"/>
  </w:num>
  <w:num w:numId="39">
    <w:abstractNumId w:val="40"/>
  </w:num>
  <w:num w:numId="40">
    <w:abstractNumId w:val="34"/>
  </w:num>
  <w:num w:numId="41">
    <w:abstractNumId w:val="23"/>
  </w:num>
  <w:num w:numId="42">
    <w:abstractNumId w:val="25"/>
  </w:num>
  <w:num w:numId="43">
    <w:abstractNumId w:val="18"/>
  </w:num>
  <w:num w:numId="44">
    <w:abstractNumId w:val="37"/>
  </w:num>
  <w:num w:numId="45">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F48"/>
    <w:rsid w:val="00004592"/>
    <w:rsid w:val="00012B10"/>
    <w:rsid w:val="00031206"/>
    <w:rsid w:val="00060A6B"/>
    <w:rsid w:val="000852B8"/>
    <w:rsid w:val="000B58A6"/>
    <w:rsid w:val="000D4DB7"/>
    <w:rsid w:val="000F0B1F"/>
    <w:rsid w:val="00110A1D"/>
    <w:rsid w:val="001642F5"/>
    <w:rsid w:val="001742A1"/>
    <w:rsid w:val="001D2B0F"/>
    <w:rsid w:val="001F1F48"/>
    <w:rsid w:val="00256BB0"/>
    <w:rsid w:val="00283FF8"/>
    <w:rsid w:val="00294CF9"/>
    <w:rsid w:val="002C243F"/>
    <w:rsid w:val="002D3E3E"/>
    <w:rsid w:val="003347BE"/>
    <w:rsid w:val="00344078"/>
    <w:rsid w:val="003E766C"/>
    <w:rsid w:val="004051D4"/>
    <w:rsid w:val="00417577"/>
    <w:rsid w:val="00423360"/>
    <w:rsid w:val="004270A5"/>
    <w:rsid w:val="00442824"/>
    <w:rsid w:val="004953ED"/>
    <w:rsid w:val="004A3457"/>
    <w:rsid w:val="00535F3E"/>
    <w:rsid w:val="0055208C"/>
    <w:rsid w:val="005A6698"/>
    <w:rsid w:val="005A7192"/>
    <w:rsid w:val="00680B97"/>
    <w:rsid w:val="00693C36"/>
    <w:rsid w:val="006F21CD"/>
    <w:rsid w:val="00705BB8"/>
    <w:rsid w:val="00766DCF"/>
    <w:rsid w:val="00776AF2"/>
    <w:rsid w:val="00787D7C"/>
    <w:rsid w:val="00794769"/>
    <w:rsid w:val="007E5C2C"/>
    <w:rsid w:val="0089476F"/>
    <w:rsid w:val="0094434A"/>
    <w:rsid w:val="009A1FCD"/>
    <w:rsid w:val="009B5A87"/>
    <w:rsid w:val="00A733C7"/>
    <w:rsid w:val="00AE7A3E"/>
    <w:rsid w:val="00B70AA0"/>
    <w:rsid w:val="00BC473D"/>
    <w:rsid w:val="00BF2242"/>
    <w:rsid w:val="00C04E95"/>
    <w:rsid w:val="00C07507"/>
    <w:rsid w:val="00C13BED"/>
    <w:rsid w:val="00C52CE2"/>
    <w:rsid w:val="00C6120B"/>
    <w:rsid w:val="00CB4623"/>
    <w:rsid w:val="00CE53E7"/>
    <w:rsid w:val="00D71D7D"/>
    <w:rsid w:val="00DD4F04"/>
    <w:rsid w:val="00E10C88"/>
    <w:rsid w:val="00E14BF7"/>
    <w:rsid w:val="00E178A4"/>
    <w:rsid w:val="00E329BE"/>
    <w:rsid w:val="00EB1060"/>
    <w:rsid w:val="00EB3700"/>
    <w:rsid w:val="00ED36CE"/>
    <w:rsid w:val="00F02699"/>
    <w:rsid w:val="00FA5A41"/>
    <w:rsid w:val="00FA7473"/>
    <w:rsid w:val="00FE59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DA547"/>
  <w15:docId w15:val="{1D8E0AB2-ED5D-486B-989C-47D4D19C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ind w:left="838" w:hanging="721"/>
      <w:outlineLvl w:val="0"/>
    </w:pPr>
    <w:rPr>
      <w:b/>
      <w:sz w:val="24"/>
      <w:szCs w:val="24"/>
    </w:rPr>
  </w:style>
  <w:style w:type="paragraph" w:styleId="Ttulo2">
    <w:name w:val="heading 2"/>
    <w:basedOn w:val="Normal"/>
    <w:next w:val="Normal"/>
    <w:uiPriority w:val="9"/>
    <w:unhideWhenUsed/>
    <w:qFormat/>
    <w:pPr>
      <w:keepNext/>
      <w:keepLines/>
      <w:spacing w:before="40"/>
      <w:outlineLvl w:val="1"/>
    </w:pPr>
    <w:rPr>
      <w:rFonts w:ascii="Cambria" w:eastAsia="Cambria" w:hAnsi="Cambria" w:cs="Cambria"/>
      <w:color w:val="366091"/>
      <w:sz w:val="26"/>
      <w:szCs w:val="26"/>
    </w:rPr>
  </w:style>
  <w:style w:type="paragraph" w:styleId="Ttulo3">
    <w:name w:val="heading 3"/>
    <w:basedOn w:val="Normal"/>
    <w:next w:val="Normal"/>
    <w:uiPriority w:val="9"/>
    <w:unhideWhenUsed/>
    <w:qFormat/>
    <w:pPr>
      <w:keepNext/>
      <w:keepLines/>
      <w:spacing w:before="40"/>
      <w:outlineLvl w:val="2"/>
    </w:pPr>
    <w:rPr>
      <w:rFonts w:ascii="Cambria" w:eastAsia="Cambria" w:hAnsi="Cambria" w:cs="Cambria"/>
      <w:color w:val="243F61"/>
      <w:sz w:val="24"/>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 Paragraph1,Betulia Título 1,NORMAL,Bolita,Guión,Párrafo de lista3,BOLA,Párrafo de lista21,Titulo 8,TITULO1REQ,Fotografía,Bullet List,FooterText,numbered,Paragraphe de liste1,lp1,Scitum normal,HOJA,List Paragraph,Párrafo de lista4"/>
    <w:basedOn w:val="Normal"/>
    <w:link w:val="PrrafodelistaCar"/>
    <w:uiPriority w:val="99"/>
    <w:qFormat/>
    <w:pPr>
      <w:ind w:left="838" w:hanging="360"/>
    </w:pPr>
  </w:style>
  <w:style w:type="paragraph" w:customStyle="1" w:styleId="TableParagraph">
    <w:name w:val="Table Paragraph"/>
    <w:basedOn w:val="Normal"/>
    <w:uiPriority w:val="1"/>
    <w:qFormat/>
    <w:pPr>
      <w:jc w:val="center"/>
    </w:pPr>
  </w:style>
  <w:style w:type="paragraph" w:customStyle="1" w:styleId="Standard">
    <w:name w:val="Standard"/>
    <w:link w:val="StandardCar"/>
    <w:uiPriority w:val="1"/>
    <w:qFormat/>
    <w:rsid w:val="00D311AB"/>
    <w:pPr>
      <w:widowControl/>
      <w:suppressAutoHyphens/>
      <w:textAlignment w:val="baseline"/>
    </w:pPr>
    <w:rPr>
      <w:kern w:val="3"/>
      <w:sz w:val="20"/>
      <w:szCs w:val="20"/>
      <w:lang w:eastAsia="zh-CN"/>
    </w:rPr>
  </w:style>
  <w:style w:type="character" w:customStyle="1" w:styleId="StandardCar">
    <w:name w:val="Standard Car"/>
    <w:link w:val="Standard"/>
    <w:uiPriority w:val="1"/>
    <w:qFormat/>
    <w:locked/>
    <w:rsid w:val="00D311AB"/>
    <w:rPr>
      <w:rFonts w:ascii="Times New Roman" w:eastAsia="Times New Roman" w:hAnsi="Times New Roman" w:cs="Times New Roman"/>
      <w:kern w:val="3"/>
      <w:sz w:val="20"/>
      <w:szCs w:val="20"/>
      <w:lang w:val="es-CO" w:eastAsia="zh-CN"/>
    </w:rPr>
  </w:style>
  <w:style w:type="paragraph" w:styleId="Encabezado">
    <w:name w:val="header"/>
    <w:basedOn w:val="Normal"/>
    <w:link w:val="EncabezadoCar"/>
    <w:uiPriority w:val="99"/>
    <w:unhideWhenUsed/>
    <w:rsid w:val="00D311AB"/>
    <w:pPr>
      <w:tabs>
        <w:tab w:val="center" w:pos="4419"/>
        <w:tab w:val="right" w:pos="8838"/>
      </w:tabs>
    </w:pPr>
  </w:style>
  <w:style w:type="character" w:customStyle="1" w:styleId="EncabezadoCar">
    <w:name w:val="Encabezado Car"/>
    <w:basedOn w:val="Fuentedeprrafopredeter"/>
    <w:link w:val="Encabezado"/>
    <w:uiPriority w:val="99"/>
    <w:rsid w:val="00D311AB"/>
    <w:rPr>
      <w:rFonts w:ascii="Times New Roman" w:eastAsia="Times New Roman" w:hAnsi="Times New Roman" w:cs="Times New Roman"/>
      <w:lang w:val="es-ES"/>
    </w:rPr>
  </w:style>
  <w:style w:type="paragraph" w:styleId="Piedepgina">
    <w:name w:val="footer"/>
    <w:aliases w:val="pie de página"/>
    <w:basedOn w:val="Normal"/>
    <w:link w:val="PiedepginaCar"/>
    <w:uiPriority w:val="99"/>
    <w:unhideWhenUsed/>
    <w:rsid w:val="00D311AB"/>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D311AB"/>
    <w:rPr>
      <w:rFonts w:ascii="Times New Roman" w:eastAsia="Times New Roman" w:hAnsi="Times New Roman" w:cs="Times New Roman"/>
      <w:lang w:val="es-ES"/>
    </w:rPr>
  </w:style>
  <w:style w:type="paragraph" w:styleId="Textonotapie">
    <w:name w:val="footnote text"/>
    <w:aliases w:val=" Car,texto de nota al pie,ft,Car3 Car,Car3 Car Car,Car3 Car Car Car Car,Footnote Text Char Char,Footnote Text1 Char,Footnote Text Char Char Char Char,Texto nota pie2,ft1,ft Car Car Car1,Texto nota pie Car2,Char,Car"/>
    <w:basedOn w:val="Normal"/>
    <w:link w:val="TextonotapieCar"/>
    <w:uiPriority w:val="99"/>
    <w:unhideWhenUsed/>
    <w:qFormat/>
    <w:rsid w:val="007A409C"/>
    <w:rPr>
      <w:sz w:val="20"/>
      <w:szCs w:val="20"/>
    </w:rPr>
  </w:style>
  <w:style w:type="character" w:customStyle="1" w:styleId="TextonotapieCar">
    <w:name w:val="Texto nota pie Car"/>
    <w:aliases w:val=" Car Car,texto de nota al pie Car,ft Car,Car3 Car Car1,Car3 Car Car Car,Car3 Car Car Car Car Car,Footnote Text Char Char Car,Footnote Text1 Char Car,Footnote Text Char Char Char Char Car,Texto nota pie2 Car,ft1 Car,ft Car Car Car1 Car"/>
    <w:basedOn w:val="Fuentedeprrafopredeter"/>
    <w:link w:val="Textonotapie"/>
    <w:uiPriority w:val="99"/>
    <w:qFormat/>
    <w:rsid w:val="007A409C"/>
    <w:rPr>
      <w:rFonts w:ascii="Times New Roman" w:eastAsia="Times New Roman" w:hAnsi="Times New Roman" w:cs="Times New Roman"/>
      <w:sz w:val="20"/>
      <w:szCs w:val="20"/>
      <w:lang w:val="es-ES"/>
    </w:rPr>
  </w:style>
  <w:style w:type="character" w:styleId="Refdenotaalpie">
    <w:name w:val="footnote reference"/>
    <w:aliases w:val="referencia nota al pie,Referencia nota al pie,BVI fnr,BVI fnr Car Car,BVI fnr Car,BVI fnr Car Car Car Car,Texto de nota al pie,Ref. de nota al pie2,Nota de pie,Ref,de nota al pie,Normal1,Massilia Footnote Reference,Footnotes refss,FC"/>
    <w:basedOn w:val="Fuentedeprrafopredeter"/>
    <w:uiPriority w:val="99"/>
    <w:unhideWhenUsed/>
    <w:qFormat/>
    <w:rsid w:val="007A409C"/>
    <w:rPr>
      <w:vertAlign w:val="superscript"/>
    </w:rPr>
  </w:style>
  <w:style w:type="table" w:styleId="Tablaconcuadrcula">
    <w:name w:val="Table Grid"/>
    <w:basedOn w:val="Tablanormal"/>
    <w:uiPriority w:val="39"/>
    <w:rsid w:val="00D94324"/>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semiHidden/>
    <w:rsid w:val="00D94324"/>
    <w:rPr>
      <w:rFonts w:asciiTheme="majorHAnsi" w:eastAsiaTheme="majorEastAsia" w:hAnsiTheme="majorHAnsi" w:cstheme="majorBidi"/>
      <w:color w:val="243F60" w:themeColor="accent1" w:themeShade="7F"/>
      <w:sz w:val="24"/>
      <w:szCs w:val="24"/>
      <w:lang w:val="es-ES"/>
    </w:rPr>
  </w:style>
  <w:style w:type="character" w:styleId="Hipervnculo">
    <w:name w:val="Hyperlink"/>
    <w:uiPriority w:val="99"/>
    <w:rsid w:val="00D94324"/>
    <w:rPr>
      <w:color w:val="0000FF"/>
      <w:u w:val="single"/>
    </w:rPr>
  </w:style>
  <w:style w:type="character" w:customStyle="1" w:styleId="PrrafodelistaCar">
    <w:name w:val="Párrafo de lista Car"/>
    <w:aliases w:val="List Paragraph1 Car,Betulia Título 1 Car,NORMAL Car,Bolita Car,Guión Car,Párrafo de lista3 Car,BOLA Car,Párrafo de lista21 Car,Titulo 8 Car,TITULO1REQ Car,Fotografía Car,Bullet List Car,FooterText Car,numbered Car,lp1 Car,HOJA Car"/>
    <w:link w:val="Prrafodelista"/>
    <w:uiPriority w:val="99"/>
    <w:qFormat/>
    <w:locked/>
    <w:rsid w:val="00D94324"/>
    <w:rPr>
      <w:rFonts w:ascii="Times New Roman" w:eastAsia="Times New Roman" w:hAnsi="Times New Roman" w:cs="Times New Roman"/>
      <w:lang w:val="es-ES"/>
    </w:rPr>
  </w:style>
  <w:style w:type="paragraph" w:styleId="NormalWeb">
    <w:name w:val="Normal (Web)"/>
    <w:aliases w:val="Normal (Web) Car Car,Normal (Web) Car Car Car,Normal (Web) Car Car Car Car Car Car,Normal (Web) Car Car Car Car Car Car Car Car Car"/>
    <w:basedOn w:val="Normal"/>
    <w:link w:val="NormalWebCar"/>
    <w:uiPriority w:val="99"/>
    <w:unhideWhenUsed/>
    <w:qFormat/>
    <w:rsid w:val="00D94324"/>
    <w:pPr>
      <w:widowControl/>
      <w:spacing w:before="100" w:beforeAutospacing="1" w:after="100" w:afterAutospacing="1"/>
    </w:pPr>
    <w:rPr>
      <w:sz w:val="24"/>
      <w:szCs w:val="24"/>
    </w:rPr>
  </w:style>
  <w:style w:type="character" w:customStyle="1" w:styleId="NormalWebCar">
    <w:name w:val="Normal (Web) Car"/>
    <w:aliases w:val="Normal (Web) Car Car Car1,Normal (Web) Car Car Car Car,Normal (Web) Car Car Car Car Car Car Car,Normal (Web) Car Car Car Car Car Car Car Car Car Car"/>
    <w:link w:val="NormalWeb"/>
    <w:locked/>
    <w:rsid w:val="00D94324"/>
    <w:rPr>
      <w:rFonts w:ascii="Times New Roman" w:eastAsia="Times New Roman" w:hAnsi="Times New Roman" w:cs="Times New Roman"/>
      <w:sz w:val="24"/>
      <w:szCs w:val="24"/>
      <w:lang w:val="es-CO" w:eastAsia="es-CO"/>
    </w:rPr>
  </w:style>
  <w:style w:type="character" w:styleId="Mencinsinresolver">
    <w:name w:val="Unresolved Mention"/>
    <w:basedOn w:val="Fuentedeprrafopredeter"/>
    <w:uiPriority w:val="99"/>
    <w:semiHidden/>
    <w:unhideWhenUsed/>
    <w:rsid w:val="00E72D95"/>
    <w:rPr>
      <w:color w:val="605E5C"/>
      <w:shd w:val="clear" w:color="auto" w:fill="E1DFDD"/>
    </w:rPr>
  </w:style>
  <w:style w:type="character" w:customStyle="1" w:styleId="vortaltextarea">
    <w:name w:val="vortaltextarea"/>
    <w:basedOn w:val="Fuentedeprrafopredeter"/>
    <w:rsid w:val="00A12197"/>
  </w:style>
  <w:style w:type="paragraph" w:styleId="Textocomentario">
    <w:name w:val="annotation text"/>
    <w:basedOn w:val="Normal"/>
    <w:link w:val="TextocomentarioCar1"/>
    <w:uiPriority w:val="99"/>
    <w:unhideWhenUsed/>
    <w:rsid w:val="00D3292A"/>
    <w:pPr>
      <w:widowControl/>
      <w:spacing w:after="160"/>
    </w:pPr>
    <w:rPr>
      <w:rFonts w:asciiTheme="minorHAnsi" w:eastAsiaTheme="minorHAnsi" w:hAnsiTheme="minorHAnsi" w:cstheme="minorBidi"/>
      <w:sz w:val="20"/>
      <w:szCs w:val="20"/>
    </w:rPr>
  </w:style>
  <w:style w:type="character" w:customStyle="1" w:styleId="TextocomentarioCar">
    <w:name w:val="Texto comentario Car"/>
    <w:basedOn w:val="Fuentedeprrafopredeter"/>
    <w:uiPriority w:val="99"/>
    <w:rsid w:val="00D3292A"/>
    <w:rPr>
      <w:rFonts w:ascii="Times New Roman" w:eastAsia="Times New Roman" w:hAnsi="Times New Roman" w:cs="Times New Roman"/>
      <w:sz w:val="20"/>
      <w:szCs w:val="20"/>
      <w:lang w:val="es-ES"/>
    </w:rPr>
  </w:style>
  <w:style w:type="character" w:customStyle="1" w:styleId="TextocomentarioCar1">
    <w:name w:val="Texto comentario Car1"/>
    <w:basedOn w:val="Fuentedeprrafopredeter"/>
    <w:link w:val="Textocomentario"/>
    <w:uiPriority w:val="99"/>
    <w:rsid w:val="00D3292A"/>
    <w:rPr>
      <w:sz w:val="20"/>
      <w:szCs w:val="20"/>
      <w:lang w:val="es-CO"/>
    </w:rPr>
  </w:style>
  <w:style w:type="character" w:styleId="Refdecomentario">
    <w:name w:val="annotation reference"/>
    <w:basedOn w:val="Fuentedeprrafopredeter"/>
    <w:uiPriority w:val="99"/>
    <w:unhideWhenUsed/>
    <w:rsid w:val="00D3292A"/>
    <w:rPr>
      <w:sz w:val="16"/>
      <w:szCs w:val="16"/>
    </w:rPr>
  </w:style>
  <w:style w:type="paragraph" w:styleId="Lista2">
    <w:name w:val="List 2"/>
    <w:basedOn w:val="Normal"/>
    <w:uiPriority w:val="99"/>
    <w:unhideWhenUsed/>
    <w:rsid w:val="00B8509F"/>
    <w:pPr>
      <w:widowControl/>
      <w:spacing w:after="160" w:line="259" w:lineRule="auto"/>
      <w:ind w:left="566" w:hanging="283"/>
      <w:contextualSpacing/>
    </w:pPr>
    <w:rPr>
      <w:rFonts w:asciiTheme="minorHAnsi" w:eastAsiaTheme="minorHAnsi" w:hAnsiTheme="minorHAnsi" w:cstheme="minorBidi"/>
    </w:rPr>
  </w:style>
  <w:style w:type="numbering" w:customStyle="1" w:styleId="Estilo1">
    <w:name w:val="Estilo1"/>
    <w:uiPriority w:val="99"/>
    <w:rsid w:val="00B8509F"/>
  </w:style>
  <w:style w:type="paragraph" w:customStyle="1" w:styleId="Default">
    <w:name w:val="Default"/>
    <w:link w:val="DefaultCar"/>
    <w:qFormat/>
    <w:rsid w:val="00600DB7"/>
    <w:pPr>
      <w:widowControl/>
      <w:adjustRightInd w:val="0"/>
    </w:pPr>
    <w:rPr>
      <w:rFonts w:ascii="Symbol" w:hAnsi="Symbol" w:cs="Symbol"/>
      <w:color w:val="000000"/>
      <w:sz w:val="24"/>
      <w:szCs w:val="24"/>
    </w:rPr>
  </w:style>
  <w:style w:type="paragraph" w:customStyle="1" w:styleId="paragraph">
    <w:name w:val="paragraph"/>
    <w:basedOn w:val="Normal"/>
    <w:rsid w:val="00A66C6A"/>
    <w:pPr>
      <w:widowControl/>
      <w:spacing w:before="100" w:beforeAutospacing="1" w:after="100" w:afterAutospacing="1"/>
    </w:pPr>
    <w:rPr>
      <w:sz w:val="24"/>
      <w:szCs w:val="24"/>
      <w:lang w:eastAsia="es-ES_tradnl"/>
    </w:rPr>
  </w:style>
  <w:style w:type="paragraph" w:styleId="Asuntodelcomentario">
    <w:name w:val="annotation subject"/>
    <w:basedOn w:val="Textocomentario"/>
    <w:next w:val="Textocomentario"/>
    <w:link w:val="AsuntodelcomentarioCar"/>
    <w:uiPriority w:val="99"/>
    <w:unhideWhenUsed/>
    <w:rsid w:val="00671834"/>
    <w:pPr>
      <w:widowControl w:val="0"/>
      <w:autoSpaceDE w:val="0"/>
      <w:autoSpaceDN w:val="0"/>
      <w:spacing w:after="0"/>
    </w:pPr>
    <w:rPr>
      <w:rFonts w:ascii="Times New Roman" w:eastAsia="Times New Roman" w:hAnsi="Times New Roman" w:cs="Times New Roman"/>
      <w:b/>
      <w:bCs/>
      <w:lang w:val="es-ES"/>
    </w:rPr>
  </w:style>
  <w:style w:type="character" w:customStyle="1" w:styleId="AsuntodelcomentarioCar">
    <w:name w:val="Asunto del comentario Car"/>
    <w:basedOn w:val="TextocomentarioCar1"/>
    <w:link w:val="Asuntodelcomentario"/>
    <w:uiPriority w:val="99"/>
    <w:rsid w:val="00671834"/>
    <w:rPr>
      <w:rFonts w:ascii="Times New Roman" w:eastAsia="Times New Roman" w:hAnsi="Times New Roman" w:cs="Times New Roman"/>
      <w:b/>
      <w:bCs/>
      <w:sz w:val="20"/>
      <w:szCs w:val="20"/>
      <w:lang w:val="es-ES"/>
    </w:rPr>
  </w:style>
  <w:style w:type="character" w:customStyle="1" w:styleId="Ttulo2Car">
    <w:name w:val="Título 2 Car"/>
    <w:basedOn w:val="Fuentedeprrafopredeter"/>
    <w:semiHidden/>
    <w:rsid w:val="008D7741"/>
    <w:rPr>
      <w:rFonts w:asciiTheme="majorHAnsi" w:eastAsiaTheme="majorEastAsia" w:hAnsiTheme="majorHAnsi" w:cstheme="majorBidi"/>
      <w:color w:val="365F91" w:themeColor="accent1" w:themeShade="BF"/>
      <w:sz w:val="26"/>
      <w:szCs w:val="26"/>
      <w:lang w:val="es-ES"/>
    </w:rPr>
  </w:style>
  <w:style w:type="character" w:customStyle="1" w:styleId="Ttulo1Car">
    <w:name w:val="Título 1 Car"/>
    <w:uiPriority w:val="9"/>
    <w:rsid w:val="008D7741"/>
    <w:rPr>
      <w:rFonts w:ascii="Times New Roman" w:eastAsia="Times New Roman" w:hAnsi="Times New Roman" w:cs="Times New Roman"/>
      <w:b/>
      <w:bCs/>
      <w:sz w:val="24"/>
      <w:szCs w:val="24"/>
      <w:lang w:val="es-ES"/>
    </w:rPr>
  </w:style>
  <w:style w:type="paragraph" w:customStyle="1" w:styleId="Heading">
    <w:name w:val="Heading"/>
    <w:basedOn w:val="Normal"/>
    <w:rsid w:val="008D7741"/>
    <w:pPr>
      <w:tabs>
        <w:tab w:val="center" w:pos="4419"/>
        <w:tab w:val="right" w:pos="8838"/>
      </w:tabs>
      <w:suppressAutoHyphens/>
      <w:textAlignment w:val="baseline"/>
    </w:pPr>
    <w:rPr>
      <w:rFonts w:cs="Mangal"/>
      <w:kern w:val="3"/>
      <w:sz w:val="24"/>
      <w:szCs w:val="21"/>
      <w:lang w:eastAsia="zh-CN" w:bidi="hi-IN"/>
    </w:rPr>
  </w:style>
  <w:style w:type="paragraph" w:customStyle="1" w:styleId="Textbody">
    <w:name w:val="Text body"/>
    <w:basedOn w:val="Standard"/>
    <w:rsid w:val="008D7741"/>
    <w:pPr>
      <w:spacing w:line="360" w:lineRule="auto"/>
      <w:jc w:val="both"/>
    </w:pPr>
    <w:rPr>
      <w:rFonts w:ascii="Arial" w:hAnsi="Arial" w:cs="Arial"/>
      <w:sz w:val="24"/>
      <w:szCs w:val="24"/>
    </w:rPr>
  </w:style>
  <w:style w:type="paragraph" w:styleId="Lista">
    <w:name w:val="List"/>
    <w:basedOn w:val="Textbody"/>
    <w:uiPriority w:val="99"/>
    <w:rsid w:val="008D7741"/>
    <w:rPr>
      <w:rFonts w:cs="Lohit Hindi"/>
    </w:rPr>
  </w:style>
  <w:style w:type="paragraph" w:customStyle="1" w:styleId="Descripcin1">
    <w:name w:val="Descripción1"/>
    <w:basedOn w:val="Standard"/>
    <w:uiPriority w:val="35"/>
    <w:rsid w:val="008D7741"/>
    <w:pPr>
      <w:suppressLineNumbers/>
      <w:spacing w:before="120" w:after="120"/>
    </w:pPr>
    <w:rPr>
      <w:rFonts w:cs="Lohit Hindi"/>
      <w:i/>
      <w:iCs/>
      <w:sz w:val="24"/>
      <w:szCs w:val="24"/>
    </w:rPr>
  </w:style>
  <w:style w:type="paragraph" w:customStyle="1" w:styleId="Index">
    <w:name w:val="Index"/>
    <w:basedOn w:val="Standard"/>
    <w:rsid w:val="008D7741"/>
    <w:pPr>
      <w:suppressLineNumbers/>
    </w:pPr>
    <w:rPr>
      <w:rFonts w:cs="Lohit Hindi"/>
    </w:rPr>
  </w:style>
  <w:style w:type="paragraph" w:customStyle="1" w:styleId="Encabezado1">
    <w:name w:val="Encabezado1"/>
    <w:basedOn w:val="Standard"/>
    <w:next w:val="Textbody"/>
    <w:rsid w:val="008D7741"/>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8D7741"/>
    <w:pPr>
      <w:suppressLineNumbers/>
      <w:spacing w:before="120" w:after="120"/>
    </w:pPr>
    <w:rPr>
      <w:rFonts w:cs="Lohit Hindi"/>
      <w:i/>
      <w:iCs/>
      <w:sz w:val="24"/>
      <w:szCs w:val="24"/>
    </w:rPr>
  </w:style>
  <w:style w:type="character" w:customStyle="1" w:styleId="PiedepginaCar2">
    <w:name w:val="Pie de página Car2"/>
    <w:aliases w:val="pie de página Car1,Car Car1"/>
    <w:uiPriority w:val="99"/>
    <w:rsid w:val="008D7741"/>
    <w:rPr>
      <w:rFonts w:ascii="Times New Roman" w:hAnsi="Times New Roman"/>
      <w:sz w:val="24"/>
      <w:lang w:val="es-ES"/>
    </w:rPr>
  </w:style>
  <w:style w:type="paragraph" w:customStyle="1" w:styleId="Footnote">
    <w:name w:val="Footnote"/>
    <w:basedOn w:val="Standard"/>
    <w:rsid w:val="008D7741"/>
  </w:style>
  <w:style w:type="paragraph" w:customStyle="1" w:styleId="Textoindependiente21">
    <w:name w:val="Texto independiente 21"/>
    <w:basedOn w:val="Standard"/>
    <w:rsid w:val="008D7741"/>
    <w:pPr>
      <w:spacing w:after="120" w:line="480" w:lineRule="auto"/>
    </w:pPr>
    <w:rPr>
      <w:sz w:val="24"/>
      <w:szCs w:val="24"/>
    </w:rPr>
  </w:style>
  <w:style w:type="paragraph" w:customStyle="1" w:styleId="Contents1">
    <w:name w:val="Contents 1"/>
    <w:basedOn w:val="Standard"/>
    <w:next w:val="Standard"/>
    <w:rsid w:val="008D7741"/>
    <w:pPr>
      <w:spacing w:before="120" w:after="120"/>
    </w:pPr>
    <w:rPr>
      <w:b/>
      <w:bCs/>
      <w:caps/>
    </w:rPr>
  </w:style>
  <w:style w:type="paragraph" w:customStyle="1" w:styleId="Contents2">
    <w:name w:val="Contents 2"/>
    <w:basedOn w:val="Standard"/>
    <w:next w:val="Standard"/>
    <w:rsid w:val="008D7741"/>
    <w:pPr>
      <w:ind w:left="200"/>
    </w:pPr>
    <w:rPr>
      <w:smallCaps/>
    </w:rPr>
  </w:style>
  <w:style w:type="paragraph" w:customStyle="1" w:styleId="Contents3">
    <w:name w:val="Contents 3"/>
    <w:basedOn w:val="Standard"/>
    <w:next w:val="Standard"/>
    <w:rsid w:val="008D7741"/>
    <w:pPr>
      <w:ind w:left="400"/>
    </w:pPr>
    <w:rPr>
      <w:i/>
      <w:iCs/>
    </w:rPr>
  </w:style>
  <w:style w:type="paragraph" w:customStyle="1" w:styleId="Contents4">
    <w:name w:val="Contents 4"/>
    <w:basedOn w:val="Standard"/>
    <w:next w:val="Standard"/>
    <w:rsid w:val="008D7741"/>
    <w:pPr>
      <w:ind w:left="800" w:hanging="200"/>
    </w:pPr>
  </w:style>
  <w:style w:type="paragraph" w:customStyle="1" w:styleId="Contents5">
    <w:name w:val="Contents 5"/>
    <w:basedOn w:val="Standard"/>
    <w:next w:val="Standard"/>
    <w:rsid w:val="008D7741"/>
    <w:pPr>
      <w:ind w:left="1000" w:hanging="200"/>
    </w:pPr>
  </w:style>
  <w:style w:type="paragraph" w:customStyle="1" w:styleId="Contents6">
    <w:name w:val="Contents 6"/>
    <w:basedOn w:val="Standard"/>
    <w:next w:val="Standard"/>
    <w:rsid w:val="008D7741"/>
    <w:pPr>
      <w:ind w:left="1200" w:hanging="200"/>
    </w:pPr>
  </w:style>
  <w:style w:type="paragraph" w:customStyle="1" w:styleId="Contents7">
    <w:name w:val="Contents 7"/>
    <w:basedOn w:val="Standard"/>
    <w:next w:val="Standard"/>
    <w:rsid w:val="008D7741"/>
    <w:pPr>
      <w:ind w:left="1400" w:hanging="200"/>
    </w:pPr>
  </w:style>
  <w:style w:type="paragraph" w:customStyle="1" w:styleId="Contents8">
    <w:name w:val="Contents 8"/>
    <w:basedOn w:val="Standard"/>
    <w:next w:val="Standard"/>
    <w:rsid w:val="008D7741"/>
    <w:pPr>
      <w:ind w:left="1600" w:hanging="200"/>
    </w:pPr>
  </w:style>
  <w:style w:type="paragraph" w:customStyle="1" w:styleId="Contents9">
    <w:name w:val="Contents 9"/>
    <w:basedOn w:val="Standard"/>
    <w:next w:val="Standard"/>
    <w:rsid w:val="008D7741"/>
    <w:pPr>
      <w:ind w:left="1800" w:hanging="200"/>
    </w:pPr>
  </w:style>
  <w:style w:type="paragraph" w:styleId="ndice1">
    <w:name w:val="index 1"/>
    <w:basedOn w:val="Normal"/>
    <w:next w:val="Normal"/>
    <w:autoRedefine/>
    <w:uiPriority w:val="99"/>
    <w:semiHidden/>
    <w:unhideWhenUsed/>
    <w:rsid w:val="008D7741"/>
    <w:pPr>
      <w:suppressAutoHyphens/>
      <w:ind w:left="240" w:hanging="240"/>
      <w:textAlignment w:val="baseline"/>
    </w:pPr>
    <w:rPr>
      <w:rFonts w:cs="Mangal"/>
      <w:kern w:val="3"/>
      <w:sz w:val="24"/>
      <w:szCs w:val="21"/>
      <w:lang w:eastAsia="zh-CN" w:bidi="hi-IN"/>
    </w:rPr>
  </w:style>
  <w:style w:type="paragraph" w:styleId="Ttulodendice">
    <w:name w:val="index heading"/>
    <w:basedOn w:val="Standard"/>
    <w:next w:val="Contents1"/>
    <w:uiPriority w:val="99"/>
    <w:rsid w:val="008D7741"/>
    <w:pPr>
      <w:spacing w:before="120" w:after="120"/>
    </w:pPr>
    <w:rPr>
      <w:b/>
      <w:bCs/>
      <w:i/>
      <w:iCs/>
    </w:rPr>
  </w:style>
  <w:style w:type="paragraph" w:customStyle="1" w:styleId="TDC41">
    <w:name w:val="TDC 41"/>
    <w:basedOn w:val="Standard"/>
    <w:next w:val="Standard"/>
    <w:rsid w:val="008D7741"/>
    <w:pPr>
      <w:ind w:left="600"/>
    </w:pPr>
    <w:rPr>
      <w:sz w:val="18"/>
      <w:szCs w:val="18"/>
    </w:rPr>
  </w:style>
  <w:style w:type="paragraph" w:customStyle="1" w:styleId="TDC51">
    <w:name w:val="TDC 51"/>
    <w:basedOn w:val="Standard"/>
    <w:next w:val="Standard"/>
    <w:rsid w:val="008D7741"/>
    <w:pPr>
      <w:ind w:left="800"/>
    </w:pPr>
    <w:rPr>
      <w:sz w:val="18"/>
      <w:szCs w:val="18"/>
    </w:rPr>
  </w:style>
  <w:style w:type="paragraph" w:customStyle="1" w:styleId="TDC61">
    <w:name w:val="TDC 61"/>
    <w:basedOn w:val="Standard"/>
    <w:next w:val="Standard"/>
    <w:rsid w:val="008D7741"/>
    <w:pPr>
      <w:ind w:left="1000"/>
    </w:pPr>
    <w:rPr>
      <w:sz w:val="18"/>
      <w:szCs w:val="18"/>
    </w:rPr>
  </w:style>
  <w:style w:type="paragraph" w:customStyle="1" w:styleId="TDC71">
    <w:name w:val="TDC 71"/>
    <w:basedOn w:val="Standard"/>
    <w:next w:val="Standard"/>
    <w:rsid w:val="008D7741"/>
    <w:pPr>
      <w:ind w:left="1200"/>
    </w:pPr>
    <w:rPr>
      <w:sz w:val="18"/>
      <w:szCs w:val="18"/>
    </w:rPr>
  </w:style>
  <w:style w:type="paragraph" w:customStyle="1" w:styleId="TDC81">
    <w:name w:val="TDC 81"/>
    <w:basedOn w:val="Standard"/>
    <w:next w:val="Standard"/>
    <w:rsid w:val="008D7741"/>
    <w:pPr>
      <w:ind w:left="1400"/>
    </w:pPr>
    <w:rPr>
      <w:sz w:val="18"/>
      <w:szCs w:val="18"/>
    </w:rPr>
  </w:style>
  <w:style w:type="paragraph" w:customStyle="1" w:styleId="TDC91">
    <w:name w:val="TDC 91"/>
    <w:basedOn w:val="Standard"/>
    <w:next w:val="Standard"/>
    <w:rsid w:val="008D7741"/>
    <w:pPr>
      <w:ind w:left="1600"/>
    </w:pPr>
    <w:rPr>
      <w:sz w:val="18"/>
      <w:szCs w:val="18"/>
    </w:rPr>
  </w:style>
  <w:style w:type="paragraph" w:customStyle="1" w:styleId="Prrafodelista1">
    <w:name w:val="Párrafo de lista1"/>
    <w:basedOn w:val="Standard"/>
    <w:rsid w:val="008D7741"/>
    <w:pPr>
      <w:ind w:left="708"/>
    </w:pPr>
  </w:style>
  <w:style w:type="paragraph" w:styleId="Textodeglobo">
    <w:name w:val="Balloon Text"/>
    <w:basedOn w:val="Standard"/>
    <w:link w:val="TextodegloboCar"/>
    <w:uiPriority w:val="99"/>
    <w:rsid w:val="008D7741"/>
    <w:rPr>
      <w:rFonts w:ascii="Tahoma" w:hAnsi="Tahoma" w:cs="Tahoma"/>
      <w:sz w:val="16"/>
      <w:szCs w:val="16"/>
    </w:rPr>
  </w:style>
  <w:style w:type="character" w:customStyle="1" w:styleId="TextodegloboCar">
    <w:name w:val="Texto de globo Car"/>
    <w:basedOn w:val="Fuentedeprrafopredeter"/>
    <w:link w:val="Textodeglobo"/>
    <w:uiPriority w:val="99"/>
    <w:rsid w:val="008D7741"/>
    <w:rPr>
      <w:rFonts w:ascii="Tahoma" w:eastAsia="Times New Roman" w:hAnsi="Tahoma" w:cs="Tahoma"/>
      <w:kern w:val="3"/>
      <w:sz w:val="16"/>
      <w:szCs w:val="16"/>
      <w:lang w:val="es-CO" w:eastAsia="zh-CN"/>
    </w:rPr>
  </w:style>
  <w:style w:type="paragraph" w:customStyle="1" w:styleId="Textocomentario1">
    <w:name w:val="Texto comentario1"/>
    <w:basedOn w:val="Standard"/>
    <w:rsid w:val="008D7741"/>
  </w:style>
  <w:style w:type="paragraph" w:customStyle="1" w:styleId="Sangradet">
    <w:name w:val="Sangría de t"/>
    <w:basedOn w:val="Standard"/>
    <w:rsid w:val="008D7741"/>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8D7741"/>
    <w:pPr>
      <w:spacing w:after="120" w:line="480" w:lineRule="auto"/>
      <w:ind w:left="283"/>
    </w:pPr>
  </w:style>
  <w:style w:type="paragraph" w:customStyle="1" w:styleId="TableContents">
    <w:name w:val="Table Contents"/>
    <w:basedOn w:val="Standard"/>
    <w:rsid w:val="008D7741"/>
    <w:pPr>
      <w:suppressLineNumbers/>
    </w:pPr>
  </w:style>
  <w:style w:type="paragraph" w:customStyle="1" w:styleId="TableHeading">
    <w:name w:val="Table Heading"/>
    <w:basedOn w:val="TableContents"/>
    <w:rsid w:val="008D7741"/>
    <w:pPr>
      <w:jc w:val="center"/>
    </w:pPr>
    <w:rPr>
      <w:b/>
      <w:bCs/>
    </w:rPr>
  </w:style>
  <w:style w:type="paragraph" w:customStyle="1" w:styleId="western">
    <w:name w:val="western"/>
    <w:basedOn w:val="Standard"/>
    <w:rsid w:val="008D7741"/>
    <w:pPr>
      <w:suppressAutoHyphens w:val="0"/>
      <w:spacing w:before="280" w:after="280"/>
    </w:pPr>
    <w:rPr>
      <w:sz w:val="24"/>
      <w:szCs w:val="24"/>
    </w:rPr>
  </w:style>
  <w:style w:type="character" w:customStyle="1" w:styleId="EncabezadoCar2">
    <w:name w:val="Encabezado Car2"/>
    <w:uiPriority w:val="99"/>
    <w:rsid w:val="008D7741"/>
    <w:rPr>
      <w:sz w:val="20"/>
    </w:rPr>
  </w:style>
  <w:style w:type="character" w:customStyle="1" w:styleId="WW8Num1z0">
    <w:name w:val="WW8Num1z0"/>
    <w:rsid w:val="008D7741"/>
    <w:rPr>
      <w:rFonts w:ascii="Symbol" w:hAnsi="Symbol"/>
      <w:b/>
    </w:rPr>
  </w:style>
  <w:style w:type="character" w:customStyle="1" w:styleId="WW8Num1z1">
    <w:name w:val="WW8Num1z1"/>
    <w:rsid w:val="008D7741"/>
  </w:style>
  <w:style w:type="character" w:customStyle="1" w:styleId="WW8Num1z2">
    <w:name w:val="WW8Num1z2"/>
    <w:rsid w:val="008D7741"/>
  </w:style>
  <w:style w:type="character" w:customStyle="1" w:styleId="WW8Num1z3">
    <w:name w:val="WW8Num1z3"/>
    <w:rsid w:val="008D7741"/>
  </w:style>
  <w:style w:type="character" w:customStyle="1" w:styleId="WW8Num1z4">
    <w:name w:val="WW8Num1z4"/>
    <w:rsid w:val="008D7741"/>
  </w:style>
  <w:style w:type="character" w:customStyle="1" w:styleId="WW8Num1z5">
    <w:name w:val="WW8Num1z5"/>
    <w:rsid w:val="008D7741"/>
  </w:style>
  <w:style w:type="character" w:customStyle="1" w:styleId="WW8Num1z6">
    <w:name w:val="WW8Num1z6"/>
    <w:rsid w:val="008D7741"/>
  </w:style>
  <w:style w:type="character" w:customStyle="1" w:styleId="WW8Num1z7">
    <w:name w:val="WW8Num1z7"/>
    <w:rsid w:val="008D7741"/>
  </w:style>
  <w:style w:type="character" w:customStyle="1" w:styleId="WW8Num1z8">
    <w:name w:val="WW8Num1z8"/>
    <w:rsid w:val="008D7741"/>
  </w:style>
  <w:style w:type="character" w:customStyle="1" w:styleId="WW8Num2z0">
    <w:name w:val="WW8Num2z0"/>
    <w:rsid w:val="008D7741"/>
    <w:rPr>
      <w:rFonts w:ascii="Arial" w:hAnsi="Arial"/>
      <w:b/>
      <w:sz w:val="22"/>
    </w:rPr>
  </w:style>
  <w:style w:type="character" w:customStyle="1" w:styleId="WW8Num3z0">
    <w:name w:val="WW8Num3z0"/>
    <w:rsid w:val="008D7741"/>
  </w:style>
  <w:style w:type="character" w:customStyle="1" w:styleId="WW8Num4z0">
    <w:name w:val="WW8Num4z0"/>
    <w:rsid w:val="008D7741"/>
    <w:rPr>
      <w:rFonts w:ascii="Garamond" w:hAnsi="Garamond"/>
      <w:color w:val="000000"/>
      <w:sz w:val="22"/>
    </w:rPr>
  </w:style>
  <w:style w:type="character" w:customStyle="1" w:styleId="WW8Num5z0">
    <w:name w:val="WW8Num5z0"/>
    <w:rsid w:val="008D7741"/>
    <w:rPr>
      <w:rFonts w:ascii="Arial" w:hAnsi="Arial"/>
      <w:b/>
      <w:sz w:val="22"/>
    </w:rPr>
  </w:style>
  <w:style w:type="character" w:customStyle="1" w:styleId="WW8Num6z0">
    <w:name w:val="WW8Num6z0"/>
    <w:rsid w:val="008D7741"/>
    <w:rPr>
      <w:rFonts w:ascii="Garamond" w:hAnsi="Garamond"/>
      <w:color w:val="000000"/>
      <w:sz w:val="22"/>
      <w:lang w:val="es-ES"/>
    </w:rPr>
  </w:style>
  <w:style w:type="character" w:customStyle="1" w:styleId="WW8Num7z0">
    <w:name w:val="WW8Num7z0"/>
    <w:rsid w:val="008D7741"/>
  </w:style>
  <w:style w:type="character" w:customStyle="1" w:styleId="WW8Num8z0">
    <w:name w:val="WW8Num8z0"/>
    <w:rsid w:val="008D7741"/>
    <w:rPr>
      <w:rFonts w:ascii="Arial Narrow" w:hAnsi="Arial Narrow"/>
      <w:color w:val="000000"/>
      <w:sz w:val="22"/>
    </w:rPr>
  </w:style>
  <w:style w:type="character" w:customStyle="1" w:styleId="WW8Num9z0">
    <w:name w:val="WW8Num9z0"/>
    <w:rsid w:val="008D7741"/>
    <w:rPr>
      <w:rFonts w:ascii="Garamond" w:hAnsi="Garamond"/>
      <w:b/>
      <w:sz w:val="22"/>
      <w:lang w:val="es-ES"/>
    </w:rPr>
  </w:style>
  <w:style w:type="character" w:customStyle="1" w:styleId="WW8Num10z0">
    <w:name w:val="WW8Num10z0"/>
    <w:rsid w:val="008D7741"/>
    <w:rPr>
      <w:rFonts w:ascii="Garamond" w:hAnsi="Garamond"/>
      <w:b/>
      <w:color w:val="000000"/>
      <w:sz w:val="22"/>
    </w:rPr>
  </w:style>
  <w:style w:type="character" w:customStyle="1" w:styleId="WW8Num11z0">
    <w:name w:val="WW8Num11z0"/>
    <w:rsid w:val="008D7741"/>
    <w:rPr>
      <w:rFonts w:ascii="Symbol" w:hAnsi="Symbol"/>
      <w:b/>
    </w:rPr>
  </w:style>
  <w:style w:type="character" w:customStyle="1" w:styleId="WW8Num12z0">
    <w:name w:val="WW8Num12z0"/>
    <w:rsid w:val="008D7741"/>
    <w:rPr>
      <w:rFonts w:ascii="Arial" w:hAnsi="Arial"/>
      <w:b/>
      <w:sz w:val="22"/>
      <w:lang w:val="es-ES"/>
    </w:rPr>
  </w:style>
  <w:style w:type="character" w:customStyle="1" w:styleId="WW8Num12z1">
    <w:name w:val="WW8Num12z1"/>
    <w:rsid w:val="008D7741"/>
  </w:style>
  <w:style w:type="character" w:customStyle="1" w:styleId="WW8Num13z0">
    <w:name w:val="WW8Num13z0"/>
    <w:rsid w:val="008D7741"/>
    <w:rPr>
      <w:b/>
      <w:color w:val="808080"/>
    </w:rPr>
  </w:style>
  <w:style w:type="character" w:customStyle="1" w:styleId="WW8Num14z0">
    <w:name w:val="WW8Num14z0"/>
    <w:rsid w:val="008D7741"/>
    <w:rPr>
      <w:rFonts w:ascii="Garamond" w:hAnsi="Garamond"/>
      <w:b/>
      <w:color w:val="948A54"/>
      <w:sz w:val="22"/>
    </w:rPr>
  </w:style>
  <w:style w:type="character" w:customStyle="1" w:styleId="WW8Num7z1">
    <w:name w:val="WW8Num7z1"/>
    <w:rsid w:val="008D7741"/>
  </w:style>
  <w:style w:type="character" w:customStyle="1" w:styleId="WW8Num11z1">
    <w:name w:val="WW8Num11z1"/>
    <w:rsid w:val="008D7741"/>
    <w:rPr>
      <w:rFonts w:ascii="Courier New" w:hAnsi="Courier New"/>
    </w:rPr>
  </w:style>
  <w:style w:type="character" w:customStyle="1" w:styleId="WW8Num14z1">
    <w:name w:val="WW8Num14z1"/>
    <w:rsid w:val="008D7741"/>
  </w:style>
  <w:style w:type="character" w:customStyle="1" w:styleId="WW8Num14z2">
    <w:name w:val="WW8Num14z2"/>
    <w:rsid w:val="008D7741"/>
  </w:style>
  <w:style w:type="character" w:customStyle="1" w:styleId="WW8Num14z3">
    <w:name w:val="WW8Num14z3"/>
    <w:rsid w:val="008D7741"/>
  </w:style>
  <w:style w:type="character" w:customStyle="1" w:styleId="WW8Num14z4">
    <w:name w:val="WW8Num14z4"/>
    <w:rsid w:val="008D7741"/>
  </w:style>
  <w:style w:type="character" w:customStyle="1" w:styleId="WW8Num14z5">
    <w:name w:val="WW8Num14z5"/>
    <w:rsid w:val="008D7741"/>
  </w:style>
  <w:style w:type="character" w:customStyle="1" w:styleId="WW8Num14z6">
    <w:name w:val="WW8Num14z6"/>
    <w:rsid w:val="008D7741"/>
  </w:style>
  <w:style w:type="character" w:customStyle="1" w:styleId="WW8Num14z7">
    <w:name w:val="WW8Num14z7"/>
    <w:rsid w:val="008D7741"/>
  </w:style>
  <w:style w:type="character" w:customStyle="1" w:styleId="WW8Num14z8">
    <w:name w:val="WW8Num14z8"/>
    <w:rsid w:val="008D7741"/>
  </w:style>
  <w:style w:type="character" w:customStyle="1" w:styleId="WW8Num2z1">
    <w:name w:val="WW8Num2z1"/>
    <w:rsid w:val="008D7741"/>
  </w:style>
  <w:style w:type="character" w:customStyle="1" w:styleId="WW8Num3z1">
    <w:name w:val="WW8Num3z1"/>
    <w:rsid w:val="008D7741"/>
  </w:style>
  <w:style w:type="character" w:customStyle="1" w:styleId="WW8Num4z1">
    <w:name w:val="WW8Num4z1"/>
    <w:rsid w:val="008D7741"/>
  </w:style>
  <w:style w:type="character" w:customStyle="1" w:styleId="WW8Num5z1">
    <w:name w:val="WW8Num5z1"/>
    <w:rsid w:val="008D7741"/>
  </w:style>
  <w:style w:type="character" w:customStyle="1" w:styleId="WW8Num6z1">
    <w:name w:val="WW8Num6z1"/>
    <w:rsid w:val="008D7741"/>
  </w:style>
  <w:style w:type="character" w:customStyle="1" w:styleId="WW8Num8z1">
    <w:name w:val="WW8Num8z1"/>
    <w:rsid w:val="008D7741"/>
    <w:rPr>
      <w:rFonts w:ascii="Courier New" w:hAnsi="Courier New"/>
    </w:rPr>
  </w:style>
  <w:style w:type="character" w:customStyle="1" w:styleId="WW8Num8z2">
    <w:name w:val="WW8Num8z2"/>
    <w:rsid w:val="008D7741"/>
    <w:rPr>
      <w:rFonts w:ascii="Wingdings" w:hAnsi="Wingdings"/>
    </w:rPr>
  </w:style>
  <w:style w:type="character" w:customStyle="1" w:styleId="WW8Num8z3">
    <w:name w:val="WW8Num8z3"/>
    <w:rsid w:val="008D7741"/>
    <w:rPr>
      <w:rFonts w:ascii="Symbol" w:hAnsi="Symbol"/>
    </w:rPr>
  </w:style>
  <w:style w:type="character" w:customStyle="1" w:styleId="WW8Num9z1">
    <w:name w:val="WW8Num9z1"/>
    <w:rsid w:val="008D7741"/>
  </w:style>
  <w:style w:type="character" w:customStyle="1" w:styleId="WW8Num10z1">
    <w:name w:val="WW8Num10z1"/>
    <w:rsid w:val="008D7741"/>
    <w:rPr>
      <w:rFonts w:ascii="Symbol" w:hAnsi="Symbol"/>
    </w:rPr>
  </w:style>
  <w:style w:type="character" w:customStyle="1" w:styleId="WW8Num10z2">
    <w:name w:val="WW8Num10z2"/>
    <w:rsid w:val="008D7741"/>
  </w:style>
  <w:style w:type="character" w:customStyle="1" w:styleId="WW8Num11z2">
    <w:name w:val="WW8Num11z2"/>
    <w:rsid w:val="008D7741"/>
    <w:rPr>
      <w:rFonts w:ascii="Wingdings" w:hAnsi="Wingdings"/>
    </w:rPr>
  </w:style>
  <w:style w:type="character" w:customStyle="1" w:styleId="WW8Num13z1">
    <w:name w:val="WW8Num13z1"/>
    <w:rsid w:val="008D7741"/>
  </w:style>
  <w:style w:type="character" w:customStyle="1" w:styleId="WW8Num15z0">
    <w:name w:val="WW8Num15z0"/>
    <w:rsid w:val="008D7741"/>
    <w:rPr>
      <w:b/>
    </w:rPr>
  </w:style>
  <w:style w:type="character" w:customStyle="1" w:styleId="WW8Num15z1">
    <w:name w:val="WW8Num15z1"/>
    <w:rsid w:val="008D7741"/>
  </w:style>
  <w:style w:type="character" w:customStyle="1" w:styleId="WW8Num16z0">
    <w:name w:val="WW8Num16z0"/>
    <w:rsid w:val="008D7741"/>
    <w:rPr>
      <w:b/>
    </w:rPr>
  </w:style>
  <w:style w:type="character" w:customStyle="1" w:styleId="WW8Num16z1">
    <w:name w:val="WW8Num16z1"/>
    <w:rsid w:val="008D7741"/>
  </w:style>
  <w:style w:type="character" w:customStyle="1" w:styleId="WW8Num16z2">
    <w:name w:val="WW8Num16z2"/>
    <w:rsid w:val="008D7741"/>
  </w:style>
  <w:style w:type="character" w:customStyle="1" w:styleId="WW8Num17z0">
    <w:name w:val="WW8Num17z0"/>
    <w:rsid w:val="008D7741"/>
    <w:rPr>
      <w:rFonts w:ascii="Wingdings" w:hAnsi="Wingdings"/>
    </w:rPr>
  </w:style>
  <w:style w:type="character" w:customStyle="1" w:styleId="WW8Num17z1">
    <w:name w:val="WW8Num17z1"/>
    <w:rsid w:val="008D7741"/>
    <w:rPr>
      <w:rFonts w:ascii="Courier New" w:hAnsi="Courier New"/>
    </w:rPr>
  </w:style>
  <w:style w:type="character" w:customStyle="1" w:styleId="WW8Num17z3">
    <w:name w:val="WW8Num17z3"/>
    <w:rsid w:val="008D7741"/>
    <w:rPr>
      <w:rFonts w:ascii="Symbol" w:hAnsi="Symbol"/>
    </w:rPr>
  </w:style>
  <w:style w:type="character" w:customStyle="1" w:styleId="WW8Num18z0">
    <w:name w:val="WW8Num18z0"/>
    <w:rsid w:val="008D7741"/>
    <w:rPr>
      <w:rFonts w:ascii="Symbol" w:hAnsi="Symbol"/>
      <w:sz w:val="22"/>
    </w:rPr>
  </w:style>
  <w:style w:type="character" w:customStyle="1" w:styleId="WW8Num18z1">
    <w:name w:val="WW8Num18z1"/>
    <w:rsid w:val="008D7741"/>
    <w:rPr>
      <w:rFonts w:ascii="Courier New" w:hAnsi="Courier New"/>
    </w:rPr>
  </w:style>
  <w:style w:type="character" w:customStyle="1" w:styleId="WW8Num18z2">
    <w:name w:val="WW8Num18z2"/>
    <w:rsid w:val="008D7741"/>
    <w:rPr>
      <w:rFonts w:ascii="Wingdings" w:hAnsi="Wingdings"/>
    </w:rPr>
  </w:style>
  <w:style w:type="character" w:customStyle="1" w:styleId="WW8Num19z0">
    <w:name w:val="WW8Num19z0"/>
    <w:rsid w:val="008D7741"/>
    <w:rPr>
      <w:rFonts w:ascii="Wingdings" w:hAnsi="Wingdings"/>
    </w:rPr>
  </w:style>
  <w:style w:type="character" w:customStyle="1" w:styleId="WW8Num19z1">
    <w:name w:val="WW8Num19z1"/>
    <w:rsid w:val="008D7741"/>
    <w:rPr>
      <w:rFonts w:ascii="Courier New" w:hAnsi="Courier New"/>
    </w:rPr>
  </w:style>
  <w:style w:type="character" w:customStyle="1" w:styleId="WW8Num19z3">
    <w:name w:val="WW8Num19z3"/>
    <w:rsid w:val="008D7741"/>
    <w:rPr>
      <w:rFonts w:ascii="Symbol" w:hAnsi="Symbol"/>
    </w:rPr>
  </w:style>
  <w:style w:type="character" w:customStyle="1" w:styleId="WW8Num20z0">
    <w:name w:val="WW8Num20z0"/>
    <w:rsid w:val="008D7741"/>
    <w:rPr>
      <w:b/>
    </w:rPr>
  </w:style>
  <w:style w:type="character" w:customStyle="1" w:styleId="WW8Num20z2">
    <w:name w:val="WW8Num20z2"/>
    <w:rsid w:val="008D7741"/>
  </w:style>
  <w:style w:type="character" w:customStyle="1" w:styleId="WW8Num21z0">
    <w:name w:val="WW8Num21z0"/>
    <w:rsid w:val="008D7741"/>
  </w:style>
  <w:style w:type="character" w:customStyle="1" w:styleId="WW8Num22z0">
    <w:name w:val="WW8Num22z0"/>
    <w:rsid w:val="008D7741"/>
    <w:rPr>
      <w:b/>
    </w:rPr>
  </w:style>
  <w:style w:type="character" w:customStyle="1" w:styleId="WW8Num22z1">
    <w:name w:val="WW8Num22z1"/>
    <w:rsid w:val="008D7741"/>
  </w:style>
  <w:style w:type="character" w:customStyle="1" w:styleId="WW8Num23z0">
    <w:name w:val="WW8Num23z0"/>
    <w:rsid w:val="008D7741"/>
  </w:style>
  <w:style w:type="character" w:customStyle="1" w:styleId="WW8Num24z0">
    <w:name w:val="WW8Num24z0"/>
    <w:rsid w:val="008D7741"/>
  </w:style>
  <w:style w:type="character" w:customStyle="1" w:styleId="WW8Num24z1">
    <w:name w:val="WW8Num24z1"/>
    <w:rsid w:val="008D7741"/>
    <w:rPr>
      <w:rFonts w:ascii="Symbol" w:hAnsi="Symbol"/>
    </w:rPr>
  </w:style>
  <w:style w:type="character" w:customStyle="1" w:styleId="WW8Num24z2">
    <w:name w:val="WW8Num24z2"/>
    <w:rsid w:val="008D7741"/>
  </w:style>
  <w:style w:type="character" w:customStyle="1" w:styleId="WW8Num24z3">
    <w:name w:val="WW8Num24z3"/>
    <w:rsid w:val="008D7741"/>
  </w:style>
  <w:style w:type="character" w:customStyle="1" w:styleId="WW8Num25z0">
    <w:name w:val="WW8Num25z0"/>
    <w:rsid w:val="008D7741"/>
  </w:style>
  <w:style w:type="character" w:customStyle="1" w:styleId="WW8Num25z1">
    <w:name w:val="WW8Num25z1"/>
    <w:rsid w:val="008D7741"/>
  </w:style>
  <w:style w:type="character" w:customStyle="1" w:styleId="WW8Num26z0">
    <w:name w:val="WW8Num26z0"/>
    <w:rsid w:val="008D7741"/>
  </w:style>
  <w:style w:type="character" w:customStyle="1" w:styleId="WW8Num26z1">
    <w:name w:val="WW8Num26z1"/>
    <w:rsid w:val="008D7741"/>
  </w:style>
  <w:style w:type="character" w:customStyle="1" w:styleId="WW8Num27z0">
    <w:name w:val="WW8Num27z0"/>
    <w:rsid w:val="008D7741"/>
  </w:style>
  <w:style w:type="character" w:customStyle="1" w:styleId="WW8Num28z0">
    <w:name w:val="WW8Num28z0"/>
    <w:rsid w:val="008D7741"/>
  </w:style>
  <w:style w:type="character" w:customStyle="1" w:styleId="WW8Num29z0">
    <w:name w:val="WW8Num29z0"/>
    <w:rsid w:val="008D7741"/>
  </w:style>
  <w:style w:type="character" w:customStyle="1" w:styleId="WW8Num30z0">
    <w:name w:val="WW8Num30z0"/>
    <w:rsid w:val="008D7741"/>
  </w:style>
  <w:style w:type="character" w:customStyle="1" w:styleId="WW8Num31z0">
    <w:name w:val="WW8Num31z0"/>
    <w:rsid w:val="008D7741"/>
  </w:style>
  <w:style w:type="character" w:customStyle="1" w:styleId="WW8Num31z1">
    <w:name w:val="WW8Num31z1"/>
    <w:rsid w:val="008D7741"/>
  </w:style>
  <w:style w:type="character" w:customStyle="1" w:styleId="WW8Num32z0">
    <w:name w:val="WW8Num32z0"/>
    <w:rsid w:val="008D7741"/>
    <w:rPr>
      <w:rFonts w:ascii="Symbol" w:hAnsi="Symbol"/>
    </w:rPr>
  </w:style>
  <w:style w:type="character" w:customStyle="1" w:styleId="WW8Num32z1">
    <w:name w:val="WW8Num32z1"/>
    <w:rsid w:val="008D7741"/>
    <w:rPr>
      <w:rFonts w:ascii="Courier New" w:hAnsi="Courier New"/>
    </w:rPr>
  </w:style>
  <w:style w:type="character" w:customStyle="1" w:styleId="WW8Num32z2">
    <w:name w:val="WW8Num32z2"/>
    <w:rsid w:val="008D7741"/>
    <w:rPr>
      <w:rFonts w:ascii="Wingdings" w:hAnsi="Wingdings"/>
    </w:rPr>
  </w:style>
  <w:style w:type="character" w:customStyle="1" w:styleId="WW8Num33z0">
    <w:name w:val="WW8Num33z0"/>
    <w:rsid w:val="008D7741"/>
    <w:rPr>
      <w:rFonts w:ascii="Arial" w:hAnsi="Arial"/>
      <w:b/>
      <w:sz w:val="22"/>
    </w:rPr>
  </w:style>
  <w:style w:type="character" w:customStyle="1" w:styleId="WW8Num33z1">
    <w:name w:val="WW8Num33z1"/>
    <w:rsid w:val="008D7741"/>
  </w:style>
  <w:style w:type="character" w:customStyle="1" w:styleId="WW8Num34z0">
    <w:name w:val="WW8Num34z0"/>
    <w:rsid w:val="008D7741"/>
    <w:rPr>
      <w:b/>
    </w:rPr>
  </w:style>
  <w:style w:type="character" w:customStyle="1" w:styleId="WW8Num34z2">
    <w:name w:val="WW8Num34z2"/>
    <w:rsid w:val="008D7741"/>
  </w:style>
  <w:style w:type="character" w:customStyle="1" w:styleId="WW8Num35z0">
    <w:name w:val="WW8Num35z0"/>
    <w:rsid w:val="008D7741"/>
    <w:rPr>
      <w:b/>
    </w:rPr>
  </w:style>
  <w:style w:type="character" w:customStyle="1" w:styleId="WW8Num35z2">
    <w:name w:val="WW8Num35z2"/>
    <w:rsid w:val="008D7741"/>
  </w:style>
  <w:style w:type="character" w:customStyle="1" w:styleId="WW8Num36z0">
    <w:name w:val="WW8Num36z0"/>
    <w:rsid w:val="008D7741"/>
    <w:rPr>
      <w:b/>
    </w:rPr>
  </w:style>
  <w:style w:type="character" w:customStyle="1" w:styleId="WW8Num36z1">
    <w:name w:val="WW8Num36z1"/>
    <w:rsid w:val="008D7741"/>
  </w:style>
  <w:style w:type="character" w:customStyle="1" w:styleId="WW8Num37z0">
    <w:name w:val="WW8Num37z0"/>
    <w:rsid w:val="008D7741"/>
    <w:rPr>
      <w:b/>
    </w:rPr>
  </w:style>
  <w:style w:type="character" w:customStyle="1" w:styleId="WW8Num37z1">
    <w:name w:val="WW8Num37z1"/>
    <w:rsid w:val="008D7741"/>
  </w:style>
  <w:style w:type="character" w:customStyle="1" w:styleId="WW8Num38z0">
    <w:name w:val="WW8Num38z0"/>
    <w:rsid w:val="008D7741"/>
  </w:style>
  <w:style w:type="character" w:customStyle="1" w:styleId="WW8Num38z1">
    <w:name w:val="WW8Num38z1"/>
    <w:rsid w:val="008D7741"/>
  </w:style>
  <w:style w:type="character" w:customStyle="1" w:styleId="WW8Num39z0">
    <w:name w:val="WW8Num39z0"/>
    <w:rsid w:val="008D7741"/>
    <w:rPr>
      <w:rFonts w:ascii="Arial Narrow" w:hAnsi="Arial Narrow"/>
    </w:rPr>
  </w:style>
  <w:style w:type="character" w:customStyle="1" w:styleId="WW8Num39z1">
    <w:name w:val="WW8Num39z1"/>
    <w:rsid w:val="008D7741"/>
    <w:rPr>
      <w:rFonts w:ascii="Courier New" w:hAnsi="Courier New"/>
    </w:rPr>
  </w:style>
  <w:style w:type="character" w:customStyle="1" w:styleId="WW8Num39z2">
    <w:name w:val="WW8Num39z2"/>
    <w:rsid w:val="008D7741"/>
    <w:rPr>
      <w:rFonts w:ascii="Wingdings" w:hAnsi="Wingdings"/>
    </w:rPr>
  </w:style>
  <w:style w:type="character" w:customStyle="1" w:styleId="WW8Num39z3">
    <w:name w:val="WW8Num39z3"/>
    <w:rsid w:val="008D7741"/>
    <w:rPr>
      <w:rFonts w:ascii="Symbol" w:hAnsi="Symbol"/>
    </w:rPr>
  </w:style>
  <w:style w:type="character" w:customStyle="1" w:styleId="WW8Num40z0">
    <w:name w:val="WW8Num40z0"/>
    <w:rsid w:val="008D7741"/>
  </w:style>
  <w:style w:type="character" w:customStyle="1" w:styleId="WW8Num41z0">
    <w:name w:val="WW8Num41z0"/>
    <w:rsid w:val="008D7741"/>
    <w:rPr>
      <w:b/>
    </w:rPr>
  </w:style>
  <w:style w:type="character" w:customStyle="1" w:styleId="WW8Num41z1">
    <w:name w:val="WW8Num41z1"/>
    <w:rsid w:val="008D7741"/>
  </w:style>
  <w:style w:type="character" w:customStyle="1" w:styleId="WW8Num42z0">
    <w:name w:val="WW8Num42z0"/>
    <w:rsid w:val="008D7741"/>
  </w:style>
  <w:style w:type="character" w:customStyle="1" w:styleId="WW8Num43z0">
    <w:name w:val="WW8Num43z0"/>
    <w:rsid w:val="008D7741"/>
    <w:rPr>
      <w:rFonts w:ascii="Arial Narrow" w:hAnsi="Arial Narrow"/>
      <w:color w:val="000000"/>
      <w:sz w:val="24"/>
    </w:rPr>
  </w:style>
  <w:style w:type="character" w:customStyle="1" w:styleId="WW8Num43z1">
    <w:name w:val="WW8Num43z1"/>
    <w:rsid w:val="008D7741"/>
  </w:style>
  <w:style w:type="character" w:customStyle="1" w:styleId="WW8Num44z0">
    <w:name w:val="WW8Num44z0"/>
    <w:rsid w:val="008D7741"/>
    <w:rPr>
      <w:rFonts w:ascii="Symbol" w:hAnsi="Symbol"/>
    </w:rPr>
  </w:style>
  <w:style w:type="character" w:customStyle="1" w:styleId="WW8Num44z1">
    <w:name w:val="WW8Num44z1"/>
    <w:rsid w:val="008D7741"/>
    <w:rPr>
      <w:rFonts w:ascii="Courier New" w:hAnsi="Courier New"/>
    </w:rPr>
  </w:style>
  <w:style w:type="character" w:customStyle="1" w:styleId="WW8Num44z2">
    <w:name w:val="WW8Num44z2"/>
    <w:rsid w:val="008D7741"/>
    <w:rPr>
      <w:rFonts w:ascii="Wingdings" w:hAnsi="Wingdings"/>
    </w:rPr>
  </w:style>
  <w:style w:type="character" w:customStyle="1" w:styleId="WW8Num45z0">
    <w:name w:val="WW8Num45z0"/>
    <w:rsid w:val="008D7741"/>
    <w:rPr>
      <w:rFonts w:ascii="Symbol" w:hAnsi="Symbol"/>
      <w:color w:val="000000"/>
    </w:rPr>
  </w:style>
  <w:style w:type="character" w:customStyle="1" w:styleId="WW8Num45z2">
    <w:name w:val="WW8Num45z2"/>
    <w:rsid w:val="008D7741"/>
    <w:rPr>
      <w:rFonts w:ascii="Wingdings" w:hAnsi="Wingdings"/>
      <w:color w:val="000000"/>
    </w:rPr>
  </w:style>
  <w:style w:type="character" w:customStyle="1" w:styleId="WW8Num45z3">
    <w:name w:val="WW8Num45z3"/>
    <w:rsid w:val="008D7741"/>
    <w:rPr>
      <w:rFonts w:ascii="Symbol" w:hAnsi="Symbol"/>
    </w:rPr>
  </w:style>
  <w:style w:type="character" w:customStyle="1" w:styleId="WW8Num45z4">
    <w:name w:val="WW8Num45z4"/>
    <w:rsid w:val="008D7741"/>
    <w:rPr>
      <w:rFonts w:ascii="Courier New" w:hAnsi="Courier New"/>
    </w:rPr>
  </w:style>
  <w:style w:type="character" w:customStyle="1" w:styleId="WW8Num45z5">
    <w:name w:val="WW8Num45z5"/>
    <w:rsid w:val="008D7741"/>
    <w:rPr>
      <w:rFonts w:ascii="Wingdings" w:hAnsi="Wingdings"/>
    </w:rPr>
  </w:style>
  <w:style w:type="character" w:customStyle="1" w:styleId="WW8Num46z0">
    <w:name w:val="WW8Num46z0"/>
    <w:rsid w:val="008D7741"/>
    <w:rPr>
      <w:rFonts w:ascii="Arial" w:hAnsi="Arial"/>
      <w:b/>
      <w:color w:val="000000"/>
      <w:sz w:val="22"/>
    </w:rPr>
  </w:style>
  <w:style w:type="character" w:customStyle="1" w:styleId="WW8Num46z1">
    <w:name w:val="WW8Num46z1"/>
    <w:rsid w:val="008D7741"/>
  </w:style>
  <w:style w:type="character" w:customStyle="1" w:styleId="Fuentedeprrafopredeter1">
    <w:name w:val="Fuente de párrafo predeter.1"/>
    <w:rsid w:val="008D7741"/>
  </w:style>
  <w:style w:type="character" w:customStyle="1" w:styleId="FooterChar1">
    <w:name w:val="Footer Char1"/>
    <w:rsid w:val="008D7741"/>
    <w:rPr>
      <w:sz w:val="20"/>
    </w:rPr>
  </w:style>
  <w:style w:type="character" w:customStyle="1" w:styleId="Internetlink">
    <w:name w:val="Internet link"/>
    <w:rsid w:val="008D7741"/>
    <w:rPr>
      <w:color w:val="0000FF"/>
      <w:u w:val="single"/>
    </w:rPr>
  </w:style>
  <w:style w:type="character" w:customStyle="1" w:styleId="BodyTextChar">
    <w:name w:val="Body Text Char"/>
    <w:rsid w:val="008D7741"/>
    <w:rPr>
      <w:sz w:val="20"/>
    </w:rPr>
  </w:style>
  <w:style w:type="character" w:customStyle="1" w:styleId="FootnoteTextChar">
    <w:name w:val="Footnote Text Char"/>
    <w:rsid w:val="008D7741"/>
    <w:rPr>
      <w:sz w:val="20"/>
    </w:rPr>
  </w:style>
  <w:style w:type="character" w:customStyle="1" w:styleId="FootnoteSymbol">
    <w:name w:val="Footnote Symbol"/>
    <w:rsid w:val="008D7741"/>
    <w:rPr>
      <w:position w:val="0"/>
      <w:vertAlign w:val="superscript"/>
    </w:rPr>
  </w:style>
  <w:style w:type="character" w:customStyle="1" w:styleId="BodyText2Char">
    <w:name w:val="Body Text 2 Char"/>
    <w:rsid w:val="008D7741"/>
    <w:rPr>
      <w:sz w:val="20"/>
    </w:rPr>
  </w:style>
  <w:style w:type="character" w:styleId="Nmerodepgina">
    <w:name w:val="page number"/>
    <w:basedOn w:val="Fuentedeprrafopredeter"/>
    <w:rsid w:val="008D7741"/>
  </w:style>
  <w:style w:type="character" w:customStyle="1" w:styleId="FootnoteTextChar1">
    <w:name w:val="Footnote Text Char1"/>
    <w:rsid w:val="008D7741"/>
    <w:rPr>
      <w:lang w:val="es-CO"/>
    </w:rPr>
  </w:style>
  <w:style w:type="character" w:customStyle="1" w:styleId="Refdecomentario1">
    <w:name w:val="Ref. de comentario1"/>
    <w:rsid w:val="008D7741"/>
    <w:rPr>
      <w:sz w:val="16"/>
    </w:rPr>
  </w:style>
  <w:style w:type="character" w:customStyle="1" w:styleId="VisitedInternetLink">
    <w:name w:val="Visited Internet Link"/>
    <w:rsid w:val="008D7741"/>
    <w:rPr>
      <w:color w:val="800080"/>
      <w:u w:val="single"/>
    </w:rPr>
  </w:style>
  <w:style w:type="character" w:customStyle="1" w:styleId="BodyTextIndent2Char">
    <w:name w:val="Body Text Indent 2 Char"/>
    <w:rsid w:val="008D7741"/>
    <w:rPr>
      <w:sz w:val="20"/>
    </w:rPr>
  </w:style>
  <w:style w:type="character" w:customStyle="1" w:styleId="EndnoteSymbol">
    <w:name w:val="Endnote Symbol"/>
    <w:rsid w:val="008D7741"/>
    <w:rPr>
      <w:position w:val="0"/>
      <w:vertAlign w:val="superscript"/>
    </w:rPr>
  </w:style>
  <w:style w:type="character" w:customStyle="1" w:styleId="WW-Caracteresdenotafinal">
    <w:name w:val="WW-Caracteres de nota final"/>
    <w:rsid w:val="008D7741"/>
  </w:style>
  <w:style w:type="character" w:styleId="Refdenotaalfinal">
    <w:name w:val="endnote reference"/>
    <w:uiPriority w:val="99"/>
    <w:rsid w:val="008D7741"/>
    <w:rPr>
      <w:position w:val="0"/>
      <w:vertAlign w:val="superscript"/>
    </w:rPr>
  </w:style>
  <w:style w:type="character" w:customStyle="1" w:styleId="Footnoteanchor">
    <w:name w:val="Footnote anchor"/>
    <w:rsid w:val="008D7741"/>
    <w:rPr>
      <w:position w:val="0"/>
      <w:vertAlign w:val="superscript"/>
    </w:rPr>
  </w:style>
  <w:style w:type="character" w:styleId="Textoennegrita">
    <w:name w:val="Strong"/>
    <w:uiPriority w:val="22"/>
    <w:qFormat/>
    <w:rsid w:val="008D7741"/>
    <w:rPr>
      <w:rFonts w:cs="Times New Roman"/>
      <w:b/>
      <w:bCs/>
    </w:rPr>
  </w:style>
  <w:style w:type="character" w:customStyle="1" w:styleId="EncabezadoCar1">
    <w:name w:val="Encabezado Car1"/>
    <w:rsid w:val="008D7741"/>
    <w:rPr>
      <w:rFonts w:cs="Mangal"/>
      <w:sz w:val="21"/>
      <w:szCs w:val="21"/>
    </w:rPr>
  </w:style>
  <w:style w:type="character" w:customStyle="1" w:styleId="PiedepginaCar1">
    <w:name w:val="Pie de página Car1"/>
    <w:rsid w:val="008D7741"/>
    <w:rPr>
      <w:rFonts w:cs="Mangal"/>
      <w:sz w:val="21"/>
      <w:szCs w:val="21"/>
    </w:rPr>
  </w:style>
  <w:style w:type="numbering" w:customStyle="1" w:styleId="WW8Num6">
    <w:name w:val="WW8Num6"/>
    <w:rsid w:val="008D7741"/>
  </w:style>
  <w:style w:type="numbering" w:customStyle="1" w:styleId="WW8Num7">
    <w:name w:val="WW8Num7"/>
    <w:rsid w:val="008D7741"/>
  </w:style>
  <w:style w:type="numbering" w:customStyle="1" w:styleId="WW8Num3">
    <w:name w:val="WW8Num3"/>
    <w:rsid w:val="008D7741"/>
  </w:style>
  <w:style w:type="numbering" w:customStyle="1" w:styleId="WW8Num1">
    <w:name w:val="WW8Num1"/>
    <w:rsid w:val="008D7741"/>
  </w:style>
  <w:style w:type="numbering" w:customStyle="1" w:styleId="WW8Num9">
    <w:name w:val="WW8Num9"/>
    <w:rsid w:val="008D7741"/>
  </w:style>
  <w:style w:type="numbering" w:customStyle="1" w:styleId="WW8Num10">
    <w:name w:val="WW8Num10"/>
    <w:rsid w:val="008D7741"/>
  </w:style>
  <w:style w:type="numbering" w:customStyle="1" w:styleId="WW8Num4">
    <w:name w:val="WW8Num4"/>
    <w:rsid w:val="008D7741"/>
  </w:style>
  <w:style w:type="numbering" w:customStyle="1" w:styleId="WW8Num8">
    <w:name w:val="WW8Num8"/>
    <w:rsid w:val="008D7741"/>
  </w:style>
  <w:style w:type="numbering" w:customStyle="1" w:styleId="WW8Num14">
    <w:name w:val="WW8Num14"/>
    <w:rsid w:val="008D7741"/>
  </w:style>
  <w:style w:type="numbering" w:customStyle="1" w:styleId="WW8Num11">
    <w:name w:val="WW8Num11"/>
    <w:rsid w:val="008D7741"/>
  </w:style>
  <w:style w:type="numbering" w:customStyle="1" w:styleId="WW8Num12">
    <w:name w:val="WW8Num12"/>
    <w:rsid w:val="008D7741"/>
  </w:style>
  <w:style w:type="numbering" w:customStyle="1" w:styleId="WW8Num13">
    <w:name w:val="WW8Num13"/>
    <w:rsid w:val="008D7741"/>
  </w:style>
  <w:style w:type="numbering" w:customStyle="1" w:styleId="WW8Num2">
    <w:name w:val="WW8Num2"/>
    <w:rsid w:val="008D7741"/>
  </w:style>
  <w:style w:type="numbering" w:customStyle="1" w:styleId="WW8Num5">
    <w:name w:val="WW8Num5"/>
    <w:rsid w:val="008D7741"/>
  </w:style>
  <w:style w:type="character" w:styleId="nfasis">
    <w:name w:val="Emphasis"/>
    <w:uiPriority w:val="20"/>
    <w:qFormat/>
    <w:rsid w:val="008D7741"/>
    <w:rPr>
      <w:i/>
      <w:iCs/>
    </w:rPr>
  </w:style>
  <w:style w:type="paragraph" w:styleId="Descripcin">
    <w:name w:val="caption"/>
    <w:basedOn w:val="Standard"/>
    <w:uiPriority w:val="35"/>
    <w:qFormat/>
    <w:rsid w:val="008D7741"/>
    <w:pPr>
      <w:suppressLineNumbers/>
      <w:spacing w:before="120" w:after="120"/>
    </w:pPr>
    <w:rPr>
      <w:rFonts w:cs="Lohit Hindi"/>
      <w:i/>
      <w:iCs/>
      <w:sz w:val="24"/>
      <w:szCs w:val="24"/>
    </w:rPr>
  </w:style>
  <w:style w:type="character" w:customStyle="1" w:styleId="WW8Num9z2">
    <w:name w:val="WW8Num9z2"/>
    <w:rsid w:val="008D7741"/>
  </w:style>
  <w:style w:type="character" w:customStyle="1" w:styleId="WW8Num9z3">
    <w:name w:val="WW8Num9z3"/>
    <w:rsid w:val="008D7741"/>
    <w:rPr>
      <w:rFonts w:ascii="Symbol" w:hAnsi="Symbol"/>
    </w:rPr>
  </w:style>
  <w:style w:type="character" w:customStyle="1" w:styleId="WW8Num9z4">
    <w:name w:val="WW8Num9z4"/>
    <w:rsid w:val="008D7741"/>
  </w:style>
  <w:style w:type="character" w:customStyle="1" w:styleId="WW8Num9z5">
    <w:name w:val="WW8Num9z5"/>
    <w:rsid w:val="008D7741"/>
  </w:style>
  <w:style w:type="character" w:customStyle="1" w:styleId="WW8Num9z6">
    <w:name w:val="WW8Num9z6"/>
    <w:rsid w:val="008D7741"/>
  </w:style>
  <w:style w:type="character" w:customStyle="1" w:styleId="WW8Num9z7">
    <w:name w:val="WW8Num9z7"/>
    <w:rsid w:val="008D7741"/>
  </w:style>
  <w:style w:type="character" w:customStyle="1" w:styleId="WW8Num9z8">
    <w:name w:val="WW8Num9z8"/>
    <w:rsid w:val="008D7741"/>
  </w:style>
  <w:style w:type="character" w:customStyle="1" w:styleId="WW8Num10z3">
    <w:name w:val="WW8Num10z3"/>
    <w:rsid w:val="008D7741"/>
  </w:style>
  <w:style w:type="character" w:customStyle="1" w:styleId="WW8Num10z4">
    <w:name w:val="WW8Num10z4"/>
    <w:rsid w:val="008D7741"/>
  </w:style>
  <w:style w:type="character" w:customStyle="1" w:styleId="WW8Num10z5">
    <w:name w:val="WW8Num10z5"/>
    <w:rsid w:val="008D7741"/>
  </w:style>
  <w:style w:type="character" w:customStyle="1" w:styleId="WW8Num10z6">
    <w:name w:val="WW8Num10z6"/>
    <w:rsid w:val="008D7741"/>
  </w:style>
  <w:style w:type="character" w:customStyle="1" w:styleId="WW8Num10z7">
    <w:name w:val="WW8Num10z7"/>
    <w:rsid w:val="008D7741"/>
  </w:style>
  <w:style w:type="character" w:customStyle="1" w:styleId="WW8Num10z8">
    <w:name w:val="WW8Num10z8"/>
    <w:rsid w:val="008D7741"/>
  </w:style>
  <w:style w:type="character" w:customStyle="1" w:styleId="WW8Num6z2">
    <w:name w:val="WW8Num6z2"/>
    <w:rsid w:val="008D7741"/>
    <w:rPr>
      <w:rFonts w:ascii="Wingdings" w:hAnsi="Wingdings"/>
    </w:rPr>
  </w:style>
  <w:style w:type="character" w:customStyle="1" w:styleId="WW8Num12z3">
    <w:name w:val="WW8Num12z3"/>
    <w:rsid w:val="008D7741"/>
    <w:rPr>
      <w:rFonts w:ascii="Symbol" w:hAnsi="Symbol"/>
    </w:rPr>
  </w:style>
  <w:style w:type="character" w:customStyle="1" w:styleId="WW8Num13z3">
    <w:name w:val="WW8Num13z3"/>
    <w:rsid w:val="008D7741"/>
    <w:rPr>
      <w:rFonts w:ascii="Symbol" w:hAnsi="Symbol"/>
    </w:rPr>
  </w:style>
  <w:style w:type="character" w:customStyle="1" w:styleId="WW8Num15z3">
    <w:name w:val="WW8Num15z3"/>
    <w:rsid w:val="008D7741"/>
    <w:rPr>
      <w:rFonts w:ascii="Symbol" w:hAnsi="Symbol"/>
    </w:rPr>
  </w:style>
  <w:style w:type="character" w:customStyle="1" w:styleId="WW8Num18z3">
    <w:name w:val="WW8Num18z3"/>
    <w:rsid w:val="008D7741"/>
    <w:rPr>
      <w:rFonts w:ascii="Symbol" w:hAnsi="Symbol"/>
    </w:rPr>
  </w:style>
  <w:style w:type="character" w:customStyle="1" w:styleId="BulletSymbols">
    <w:name w:val="Bullet Symbols"/>
    <w:rsid w:val="008D7741"/>
    <w:rPr>
      <w:rFonts w:ascii="OpenSymbol" w:eastAsia="Times New Roman" w:hAnsi="OpenSymbol"/>
    </w:rPr>
  </w:style>
  <w:style w:type="character" w:customStyle="1" w:styleId="TextoindependienteCar">
    <w:name w:val="Texto independiente Car"/>
    <w:basedOn w:val="Fuentedeprrafopredeter"/>
    <w:link w:val="Textoindependiente"/>
    <w:uiPriority w:val="1"/>
    <w:rsid w:val="008D7741"/>
    <w:rPr>
      <w:rFonts w:ascii="Times New Roman" w:eastAsia="Times New Roman" w:hAnsi="Times New Roman" w:cs="Times New Roman"/>
      <w:sz w:val="24"/>
      <w:szCs w:val="24"/>
      <w:lang w:val="es-ES"/>
    </w:rPr>
  </w:style>
  <w:style w:type="numbering" w:customStyle="1" w:styleId="WW8Num41">
    <w:name w:val="WW8Num41"/>
    <w:rsid w:val="008D7741"/>
  </w:style>
  <w:style w:type="paragraph" w:styleId="Sinespaciado">
    <w:name w:val="No Spacing"/>
    <w:link w:val="SinespaciadoCar"/>
    <w:uiPriority w:val="1"/>
    <w:qFormat/>
    <w:rsid w:val="008D7741"/>
    <w:pPr>
      <w:widowControl/>
    </w:pPr>
    <w:rPr>
      <w:rFonts w:ascii="Calibri" w:hAnsi="Calibri"/>
      <w:lang w:val="es-ES"/>
    </w:rPr>
  </w:style>
  <w:style w:type="character" w:customStyle="1" w:styleId="SinespaciadoCar">
    <w:name w:val="Sin espaciado Car"/>
    <w:link w:val="Sinespaciado"/>
    <w:uiPriority w:val="1"/>
    <w:qFormat/>
    <w:locked/>
    <w:rsid w:val="008D7741"/>
    <w:rPr>
      <w:rFonts w:ascii="Calibri" w:eastAsia="Times New Roman" w:hAnsi="Calibri" w:cs="Times New Roman"/>
      <w:lang w:val="es-ES"/>
    </w:rPr>
  </w:style>
  <w:style w:type="character" w:customStyle="1" w:styleId="DefaultCar">
    <w:name w:val="Default Car"/>
    <w:link w:val="Default"/>
    <w:locked/>
    <w:rsid w:val="008D7741"/>
    <w:rPr>
      <w:rFonts w:ascii="Symbol" w:hAnsi="Symbol" w:cs="Symbol"/>
      <w:color w:val="000000"/>
      <w:sz w:val="24"/>
      <w:szCs w:val="24"/>
      <w:lang w:val="es-CO"/>
    </w:rPr>
  </w:style>
  <w:style w:type="character" w:customStyle="1" w:styleId="cf01">
    <w:name w:val="cf01"/>
    <w:basedOn w:val="Fuentedeprrafopredeter"/>
    <w:rsid w:val="008D7741"/>
    <w:rPr>
      <w:rFonts w:ascii="Segoe UI" w:hAnsi="Segoe UI" w:cs="Segoe UI" w:hint="default"/>
      <w:sz w:val="18"/>
      <w:szCs w:val="18"/>
    </w:rPr>
  </w:style>
  <w:style w:type="character" w:customStyle="1" w:styleId="normaltextrun">
    <w:name w:val="normaltextrun"/>
    <w:basedOn w:val="Fuentedeprrafopredeter"/>
    <w:rsid w:val="008D7741"/>
  </w:style>
  <w:style w:type="character" w:customStyle="1" w:styleId="eop">
    <w:name w:val="eop"/>
    <w:basedOn w:val="Fuentedeprrafopredeter"/>
    <w:rsid w:val="008D7741"/>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pPr>
      <w:widowControl/>
    </w:pPr>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pPr>
      <w:widowControl/>
    </w:pPr>
    <w:tblPr>
      <w:tblStyleRowBandSize w:val="1"/>
      <w:tblStyleColBandSize w:val="1"/>
      <w:tblCellMar>
        <w:left w:w="108" w:type="dxa"/>
        <w:right w:w="108" w:type="dxa"/>
      </w:tblCellMar>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Pr>
  </w:style>
  <w:style w:type="table" w:customStyle="1" w:styleId="a6">
    <w:basedOn w:val="TableNormal0"/>
    <w:tblPr>
      <w:tblStyleRowBandSize w:val="1"/>
      <w:tblStyleColBandSize w:val="1"/>
    </w:tblPr>
  </w:style>
  <w:style w:type="table" w:customStyle="1" w:styleId="a7">
    <w:basedOn w:val="TableNormal0"/>
    <w:tblPr>
      <w:tblStyleRowBandSize w:val="1"/>
      <w:tblStyleColBandSize w:val="1"/>
      <w:tblCellMar>
        <w:left w:w="70" w:type="dxa"/>
        <w:right w:w="70" w:type="dxa"/>
      </w:tblCellMar>
    </w:tblPr>
  </w:style>
  <w:style w:type="table" w:customStyle="1" w:styleId="a8">
    <w:basedOn w:val="TableNormal0"/>
    <w:tblPr>
      <w:tblStyleRowBandSize w:val="1"/>
      <w:tblStyleColBandSize w:val="1"/>
      <w:tblCellMar>
        <w:left w:w="70" w:type="dxa"/>
        <w:right w:w="70" w:type="dxa"/>
      </w:tblCellMar>
    </w:tblPr>
  </w:style>
  <w:style w:type="table" w:customStyle="1" w:styleId="a9">
    <w:basedOn w:val="TableNormal0"/>
    <w:tblPr>
      <w:tblStyleRowBandSize w:val="1"/>
      <w:tblStyleColBandSize w:val="1"/>
    </w:tblPr>
  </w:style>
  <w:style w:type="table" w:customStyle="1" w:styleId="aa">
    <w:basedOn w:val="TableNormal0"/>
    <w:tblPr>
      <w:tblStyleRowBandSize w:val="1"/>
      <w:tblStyleColBandSize w:val="1"/>
      <w:tblCellMar>
        <w:left w:w="70" w:type="dxa"/>
        <w:right w:w="70" w:type="dxa"/>
      </w:tblCellMar>
    </w:tblPr>
  </w:style>
  <w:style w:type="table" w:customStyle="1" w:styleId="ab">
    <w:basedOn w:val="TableNormal0"/>
    <w:tblPr>
      <w:tblStyleRowBandSize w:val="1"/>
      <w:tblStyleColBandSize w:val="1"/>
      <w:tblCellMar>
        <w:left w:w="70" w:type="dxa"/>
        <w:right w:w="70" w:type="dxa"/>
      </w:tblCellMar>
    </w:tblPr>
  </w:style>
  <w:style w:type="table" w:customStyle="1" w:styleId="ac">
    <w:basedOn w:val="TableNormal0"/>
    <w:tblPr>
      <w:tblStyleRowBandSize w:val="1"/>
      <w:tblStyleColBandSize w:val="1"/>
      <w:tblCellMar>
        <w:left w:w="70" w:type="dxa"/>
        <w:right w:w="70" w:type="dxa"/>
      </w:tblCellMar>
    </w:tblPr>
  </w:style>
  <w:style w:type="table" w:customStyle="1" w:styleId="ad">
    <w:basedOn w:val="TableNormal0"/>
    <w:tblPr>
      <w:tblStyleRowBandSize w:val="1"/>
      <w:tblStyleColBandSize w:val="1"/>
      <w:tblCellMar>
        <w:left w:w="70" w:type="dxa"/>
        <w:right w:w="70" w:type="dxa"/>
      </w:tblCellMar>
    </w:tblPr>
  </w:style>
  <w:style w:type="table" w:customStyle="1" w:styleId="ae">
    <w:basedOn w:val="TableNormal0"/>
    <w:tblPr>
      <w:tblStyleRowBandSize w:val="1"/>
      <w:tblStyleColBandSize w:val="1"/>
      <w:tblCellMar>
        <w:left w:w="70" w:type="dxa"/>
        <w:right w:w="70" w:type="dxa"/>
      </w:tblCellMar>
    </w:tblPr>
  </w:style>
  <w:style w:type="table" w:customStyle="1" w:styleId="af">
    <w:basedOn w:val="TableNormal0"/>
    <w:tblPr>
      <w:tblStyleRowBandSize w:val="1"/>
      <w:tblStyleColBandSize w:val="1"/>
      <w:tblCellMar>
        <w:left w:w="70" w:type="dxa"/>
        <w:right w:w="70" w:type="dxa"/>
      </w:tblCellMar>
    </w:tblPr>
  </w:style>
  <w:style w:type="table" w:customStyle="1" w:styleId="af0">
    <w:basedOn w:val="TableNormal0"/>
    <w:tblPr>
      <w:tblStyleRowBandSize w:val="1"/>
      <w:tblStyleColBandSize w:val="1"/>
      <w:tblCellMar>
        <w:left w:w="70" w:type="dxa"/>
        <w:right w:w="70" w:type="dxa"/>
      </w:tblCellMar>
    </w:tblPr>
  </w:style>
  <w:style w:type="character" w:customStyle="1" w:styleId="uv3um">
    <w:name w:val="uv3um"/>
    <w:basedOn w:val="Fuentedeprrafopredeter"/>
    <w:rsid w:val="004051D4"/>
  </w:style>
  <w:style w:type="character" w:customStyle="1" w:styleId="katex-mathml">
    <w:name w:val="katex-mathml"/>
    <w:basedOn w:val="Fuentedeprrafopredeter"/>
    <w:rsid w:val="004051D4"/>
  </w:style>
  <w:style w:type="character" w:customStyle="1" w:styleId="vortalspan">
    <w:name w:val="vortalspan"/>
    <w:basedOn w:val="Fuentedeprrafopredeter"/>
    <w:rsid w:val="004051D4"/>
  </w:style>
  <w:style w:type="character" w:customStyle="1" w:styleId="whitespace-normal">
    <w:name w:val="whitespace-normal"/>
    <w:basedOn w:val="Fuentedeprrafopredeter"/>
    <w:rsid w:val="00ED36CE"/>
  </w:style>
  <w:style w:type="character" w:styleId="Hipervnculovisitado">
    <w:name w:val="FollowedHyperlink"/>
    <w:basedOn w:val="Fuentedeprrafopredeter"/>
    <w:uiPriority w:val="99"/>
    <w:semiHidden/>
    <w:unhideWhenUsed/>
    <w:rsid w:val="009A1F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2703">
      <w:bodyDiv w:val="1"/>
      <w:marLeft w:val="0"/>
      <w:marRight w:val="0"/>
      <w:marTop w:val="0"/>
      <w:marBottom w:val="0"/>
      <w:divBdr>
        <w:top w:val="none" w:sz="0" w:space="0" w:color="auto"/>
        <w:left w:val="none" w:sz="0" w:space="0" w:color="auto"/>
        <w:bottom w:val="none" w:sz="0" w:space="0" w:color="auto"/>
        <w:right w:val="none" w:sz="0" w:space="0" w:color="auto"/>
      </w:divBdr>
    </w:div>
    <w:div w:id="244654285">
      <w:bodyDiv w:val="1"/>
      <w:marLeft w:val="0"/>
      <w:marRight w:val="0"/>
      <w:marTop w:val="0"/>
      <w:marBottom w:val="0"/>
      <w:divBdr>
        <w:top w:val="none" w:sz="0" w:space="0" w:color="auto"/>
        <w:left w:val="none" w:sz="0" w:space="0" w:color="auto"/>
        <w:bottom w:val="none" w:sz="0" w:space="0" w:color="auto"/>
        <w:right w:val="none" w:sz="0" w:space="0" w:color="auto"/>
      </w:divBdr>
    </w:div>
    <w:div w:id="434181558">
      <w:bodyDiv w:val="1"/>
      <w:marLeft w:val="0"/>
      <w:marRight w:val="0"/>
      <w:marTop w:val="0"/>
      <w:marBottom w:val="0"/>
      <w:divBdr>
        <w:top w:val="none" w:sz="0" w:space="0" w:color="auto"/>
        <w:left w:val="none" w:sz="0" w:space="0" w:color="auto"/>
        <w:bottom w:val="none" w:sz="0" w:space="0" w:color="auto"/>
        <w:right w:val="none" w:sz="0" w:space="0" w:color="auto"/>
      </w:divBdr>
    </w:div>
    <w:div w:id="497774132">
      <w:bodyDiv w:val="1"/>
      <w:marLeft w:val="0"/>
      <w:marRight w:val="0"/>
      <w:marTop w:val="0"/>
      <w:marBottom w:val="0"/>
      <w:divBdr>
        <w:top w:val="none" w:sz="0" w:space="0" w:color="auto"/>
        <w:left w:val="none" w:sz="0" w:space="0" w:color="auto"/>
        <w:bottom w:val="none" w:sz="0" w:space="0" w:color="auto"/>
        <w:right w:val="none" w:sz="0" w:space="0" w:color="auto"/>
      </w:divBdr>
    </w:div>
    <w:div w:id="602541756">
      <w:bodyDiv w:val="1"/>
      <w:marLeft w:val="0"/>
      <w:marRight w:val="0"/>
      <w:marTop w:val="0"/>
      <w:marBottom w:val="0"/>
      <w:divBdr>
        <w:top w:val="none" w:sz="0" w:space="0" w:color="auto"/>
        <w:left w:val="none" w:sz="0" w:space="0" w:color="auto"/>
        <w:bottom w:val="none" w:sz="0" w:space="0" w:color="auto"/>
        <w:right w:val="none" w:sz="0" w:space="0" w:color="auto"/>
      </w:divBdr>
    </w:div>
    <w:div w:id="748582866">
      <w:bodyDiv w:val="1"/>
      <w:marLeft w:val="0"/>
      <w:marRight w:val="0"/>
      <w:marTop w:val="0"/>
      <w:marBottom w:val="0"/>
      <w:divBdr>
        <w:top w:val="none" w:sz="0" w:space="0" w:color="auto"/>
        <w:left w:val="none" w:sz="0" w:space="0" w:color="auto"/>
        <w:bottom w:val="none" w:sz="0" w:space="0" w:color="auto"/>
        <w:right w:val="none" w:sz="0" w:space="0" w:color="auto"/>
      </w:divBdr>
    </w:div>
    <w:div w:id="880477284">
      <w:bodyDiv w:val="1"/>
      <w:marLeft w:val="0"/>
      <w:marRight w:val="0"/>
      <w:marTop w:val="0"/>
      <w:marBottom w:val="0"/>
      <w:divBdr>
        <w:top w:val="none" w:sz="0" w:space="0" w:color="auto"/>
        <w:left w:val="none" w:sz="0" w:space="0" w:color="auto"/>
        <w:bottom w:val="none" w:sz="0" w:space="0" w:color="auto"/>
        <w:right w:val="none" w:sz="0" w:space="0" w:color="auto"/>
      </w:divBdr>
    </w:div>
    <w:div w:id="881164203">
      <w:bodyDiv w:val="1"/>
      <w:marLeft w:val="0"/>
      <w:marRight w:val="0"/>
      <w:marTop w:val="0"/>
      <w:marBottom w:val="0"/>
      <w:divBdr>
        <w:top w:val="none" w:sz="0" w:space="0" w:color="auto"/>
        <w:left w:val="none" w:sz="0" w:space="0" w:color="auto"/>
        <w:bottom w:val="none" w:sz="0" w:space="0" w:color="auto"/>
        <w:right w:val="none" w:sz="0" w:space="0" w:color="auto"/>
      </w:divBdr>
    </w:div>
    <w:div w:id="913970586">
      <w:bodyDiv w:val="1"/>
      <w:marLeft w:val="0"/>
      <w:marRight w:val="0"/>
      <w:marTop w:val="0"/>
      <w:marBottom w:val="0"/>
      <w:divBdr>
        <w:top w:val="none" w:sz="0" w:space="0" w:color="auto"/>
        <w:left w:val="none" w:sz="0" w:space="0" w:color="auto"/>
        <w:bottom w:val="none" w:sz="0" w:space="0" w:color="auto"/>
        <w:right w:val="none" w:sz="0" w:space="0" w:color="auto"/>
      </w:divBdr>
    </w:div>
    <w:div w:id="1006598396">
      <w:bodyDiv w:val="1"/>
      <w:marLeft w:val="0"/>
      <w:marRight w:val="0"/>
      <w:marTop w:val="0"/>
      <w:marBottom w:val="0"/>
      <w:divBdr>
        <w:top w:val="none" w:sz="0" w:space="0" w:color="auto"/>
        <w:left w:val="none" w:sz="0" w:space="0" w:color="auto"/>
        <w:bottom w:val="none" w:sz="0" w:space="0" w:color="auto"/>
        <w:right w:val="none" w:sz="0" w:space="0" w:color="auto"/>
      </w:divBdr>
    </w:div>
    <w:div w:id="1028989886">
      <w:bodyDiv w:val="1"/>
      <w:marLeft w:val="0"/>
      <w:marRight w:val="0"/>
      <w:marTop w:val="0"/>
      <w:marBottom w:val="0"/>
      <w:divBdr>
        <w:top w:val="none" w:sz="0" w:space="0" w:color="auto"/>
        <w:left w:val="none" w:sz="0" w:space="0" w:color="auto"/>
        <w:bottom w:val="none" w:sz="0" w:space="0" w:color="auto"/>
        <w:right w:val="none" w:sz="0" w:space="0" w:color="auto"/>
      </w:divBdr>
    </w:div>
    <w:div w:id="1069495131">
      <w:bodyDiv w:val="1"/>
      <w:marLeft w:val="0"/>
      <w:marRight w:val="0"/>
      <w:marTop w:val="0"/>
      <w:marBottom w:val="0"/>
      <w:divBdr>
        <w:top w:val="none" w:sz="0" w:space="0" w:color="auto"/>
        <w:left w:val="none" w:sz="0" w:space="0" w:color="auto"/>
        <w:bottom w:val="none" w:sz="0" w:space="0" w:color="auto"/>
        <w:right w:val="none" w:sz="0" w:space="0" w:color="auto"/>
      </w:divBdr>
    </w:div>
    <w:div w:id="1090854739">
      <w:bodyDiv w:val="1"/>
      <w:marLeft w:val="0"/>
      <w:marRight w:val="0"/>
      <w:marTop w:val="0"/>
      <w:marBottom w:val="0"/>
      <w:divBdr>
        <w:top w:val="none" w:sz="0" w:space="0" w:color="auto"/>
        <w:left w:val="none" w:sz="0" w:space="0" w:color="auto"/>
        <w:bottom w:val="none" w:sz="0" w:space="0" w:color="auto"/>
        <w:right w:val="none" w:sz="0" w:space="0" w:color="auto"/>
      </w:divBdr>
    </w:div>
    <w:div w:id="1091122329">
      <w:bodyDiv w:val="1"/>
      <w:marLeft w:val="0"/>
      <w:marRight w:val="0"/>
      <w:marTop w:val="0"/>
      <w:marBottom w:val="0"/>
      <w:divBdr>
        <w:top w:val="none" w:sz="0" w:space="0" w:color="auto"/>
        <w:left w:val="none" w:sz="0" w:space="0" w:color="auto"/>
        <w:bottom w:val="none" w:sz="0" w:space="0" w:color="auto"/>
        <w:right w:val="none" w:sz="0" w:space="0" w:color="auto"/>
      </w:divBdr>
    </w:div>
    <w:div w:id="1140346989">
      <w:bodyDiv w:val="1"/>
      <w:marLeft w:val="0"/>
      <w:marRight w:val="0"/>
      <w:marTop w:val="0"/>
      <w:marBottom w:val="0"/>
      <w:divBdr>
        <w:top w:val="none" w:sz="0" w:space="0" w:color="auto"/>
        <w:left w:val="none" w:sz="0" w:space="0" w:color="auto"/>
        <w:bottom w:val="none" w:sz="0" w:space="0" w:color="auto"/>
        <w:right w:val="none" w:sz="0" w:space="0" w:color="auto"/>
      </w:divBdr>
    </w:div>
    <w:div w:id="1277560924">
      <w:bodyDiv w:val="1"/>
      <w:marLeft w:val="0"/>
      <w:marRight w:val="0"/>
      <w:marTop w:val="0"/>
      <w:marBottom w:val="0"/>
      <w:divBdr>
        <w:top w:val="none" w:sz="0" w:space="0" w:color="auto"/>
        <w:left w:val="none" w:sz="0" w:space="0" w:color="auto"/>
        <w:bottom w:val="none" w:sz="0" w:space="0" w:color="auto"/>
        <w:right w:val="none" w:sz="0" w:space="0" w:color="auto"/>
      </w:divBdr>
    </w:div>
    <w:div w:id="1342928285">
      <w:bodyDiv w:val="1"/>
      <w:marLeft w:val="0"/>
      <w:marRight w:val="0"/>
      <w:marTop w:val="0"/>
      <w:marBottom w:val="0"/>
      <w:divBdr>
        <w:top w:val="none" w:sz="0" w:space="0" w:color="auto"/>
        <w:left w:val="none" w:sz="0" w:space="0" w:color="auto"/>
        <w:bottom w:val="none" w:sz="0" w:space="0" w:color="auto"/>
        <w:right w:val="none" w:sz="0" w:space="0" w:color="auto"/>
      </w:divBdr>
    </w:div>
    <w:div w:id="1426462504">
      <w:bodyDiv w:val="1"/>
      <w:marLeft w:val="0"/>
      <w:marRight w:val="0"/>
      <w:marTop w:val="0"/>
      <w:marBottom w:val="0"/>
      <w:divBdr>
        <w:top w:val="none" w:sz="0" w:space="0" w:color="auto"/>
        <w:left w:val="none" w:sz="0" w:space="0" w:color="auto"/>
        <w:bottom w:val="none" w:sz="0" w:space="0" w:color="auto"/>
        <w:right w:val="none" w:sz="0" w:space="0" w:color="auto"/>
      </w:divBdr>
    </w:div>
    <w:div w:id="1527403853">
      <w:bodyDiv w:val="1"/>
      <w:marLeft w:val="0"/>
      <w:marRight w:val="0"/>
      <w:marTop w:val="0"/>
      <w:marBottom w:val="0"/>
      <w:divBdr>
        <w:top w:val="none" w:sz="0" w:space="0" w:color="auto"/>
        <w:left w:val="none" w:sz="0" w:space="0" w:color="auto"/>
        <w:bottom w:val="none" w:sz="0" w:space="0" w:color="auto"/>
        <w:right w:val="none" w:sz="0" w:space="0" w:color="auto"/>
      </w:divBdr>
    </w:div>
    <w:div w:id="1729760042">
      <w:bodyDiv w:val="1"/>
      <w:marLeft w:val="0"/>
      <w:marRight w:val="0"/>
      <w:marTop w:val="0"/>
      <w:marBottom w:val="0"/>
      <w:divBdr>
        <w:top w:val="none" w:sz="0" w:space="0" w:color="auto"/>
        <w:left w:val="none" w:sz="0" w:space="0" w:color="auto"/>
        <w:bottom w:val="none" w:sz="0" w:space="0" w:color="auto"/>
        <w:right w:val="none" w:sz="0" w:space="0" w:color="auto"/>
      </w:divBdr>
    </w:div>
    <w:div w:id="1864173040">
      <w:bodyDiv w:val="1"/>
      <w:marLeft w:val="0"/>
      <w:marRight w:val="0"/>
      <w:marTop w:val="0"/>
      <w:marBottom w:val="0"/>
      <w:divBdr>
        <w:top w:val="none" w:sz="0" w:space="0" w:color="auto"/>
        <w:left w:val="none" w:sz="0" w:space="0" w:color="auto"/>
        <w:bottom w:val="none" w:sz="0" w:space="0" w:color="auto"/>
        <w:right w:val="none" w:sz="0" w:space="0" w:color="auto"/>
      </w:divBdr>
    </w:div>
    <w:div w:id="1968076564">
      <w:bodyDiv w:val="1"/>
      <w:marLeft w:val="0"/>
      <w:marRight w:val="0"/>
      <w:marTop w:val="0"/>
      <w:marBottom w:val="0"/>
      <w:divBdr>
        <w:top w:val="none" w:sz="0" w:space="0" w:color="auto"/>
        <w:left w:val="none" w:sz="0" w:space="0" w:color="auto"/>
        <w:bottom w:val="none" w:sz="0" w:space="0" w:color="auto"/>
        <w:right w:val="none" w:sz="0" w:space="0" w:color="auto"/>
      </w:divBdr>
    </w:div>
    <w:div w:id="2007442758">
      <w:bodyDiv w:val="1"/>
      <w:marLeft w:val="0"/>
      <w:marRight w:val="0"/>
      <w:marTop w:val="0"/>
      <w:marBottom w:val="0"/>
      <w:divBdr>
        <w:top w:val="none" w:sz="0" w:space="0" w:color="auto"/>
        <w:left w:val="none" w:sz="0" w:space="0" w:color="auto"/>
        <w:bottom w:val="none" w:sz="0" w:space="0" w:color="auto"/>
        <w:right w:val="none" w:sz="0" w:space="0" w:color="auto"/>
      </w:divBdr>
    </w:div>
    <w:div w:id="2083719272">
      <w:bodyDiv w:val="1"/>
      <w:marLeft w:val="0"/>
      <w:marRight w:val="0"/>
      <w:marTop w:val="0"/>
      <w:marBottom w:val="0"/>
      <w:divBdr>
        <w:top w:val="none" w:sz="0" w:space="0" w:color="auto"/>
        <w:left w:val="none" w:sz="0" w:space="0" w:color="auto"/>
        <w:bottom w:val="none" w:sz="0" w:space="0" w:color="auto"/>
        <w:right w:val="none" w:sz="0" w:space="0" w:color="auto"/>
      </w:divBdr>
    </w:div>
    <w:div w:id="2129814530">
      <w:bodyDiv w:val="1"/>
      <w:marLeft w:val="0"/>
      <w:marRight w:val="0"/>
      <w:marTop w:val="0"/>
      <w:marBottom w:val="0"/>
      <w:divBdr>
        <w:top w:val="none" w:sz="0" w:space="0" w:color="auto"/>
        <w:left w:val="none" w:sz="0" w:space="0" w:color="auto"/>
        <w:bottom w:val="none" w:sz="0" w:space="0" w:color="auto"/>
        <w:right w:val="none" w:sz="0" w:space="0" w:color="auto"/>
      </w:divBdr>
    </w:div>
    <w:div w:id="2137332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dane.gov.co/index.php/estadisticas-por-tema/cuentas-nacionales/cuentas-nacionales-trimestrales-por-sector-institucional-cntsi?highlight=WyJzZSIsMjAyM10%3D&amp;utm_source=chatgpt.com" TargetMode="External"/><Relationship Id="rId13" Type="http://schemas.openxmlformats.org/officeDocument/2006/relationships/image" Target="media/image3.png"/><Relationship Id="rId18" Type="http://schemas.openxmlformats.org/officeDocument/2006/relationships/hyperlink" Target="https://www.banrep.gov.co?utm_source=chatgpt.com" TargetMode="External"/><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dane.gov.co?utm_source=chatgpt.com" TargetMode="External"/><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ne.gov.co/index.php/estadisticas-por-tema/servicios/encuesta-mensual-de-servicios-de-bogota-emsb" TargetMode="Externa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www.dane.gov.co?utm_source=chatgpt.com" TargetMode="External"/><Relationship Id="rId14" Type="http://schemas.openxmlformats.org/officeDocument/2006/relationships/hyperlink" Target="https://sitios.dane.gov.co/ipc/visorIPC/"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8.png"/><Relationship Id="rId1" Type="http://schemas.openxmlformats.org/officeDocument/2006/relationships/image" Target="media/image15.png"/></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DaQNSRPoRxBZt/p21wCWtJSkTg==">CgMxLjAyDmguaG1pZm03cGU5NnpkMg5oLnJwZWxlaWZ6NGh4cDIOaC5jbTZ4dnR1M3AxcHgyDmguZTc4aDZyMzByNGN6Mg5oLmpudm8zZWd1eWwzNjIOaC5leTc4cjBwYzd4czEyDmgubnFwdHc4Nm95ZGgyMg5oLnF1bTdibnRpcDlmZTgAciExWFViM01BVVAzdHdRdXNDbWpJeGxXMkFwTUVnT1kyNVc=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33</Pages>
  <Words>11849</Words>
  <Characters>65173</Characters>
  <Application>Microsoft Office Word</Application>
  <DocSecurity>0</DocSecurity>
  <Lines>543</Lines>
  <Paragraphs>153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SCASTRO</dc:creator>
  <cp:lastModifiedBy>Fabio Ernesto Muñoz</cp:lastModifiedBy>
  <cp:revision>54</cp:revision>
  <dcterms:created xsi:type="dcterms:W3CDTF">2025-08-05T00:45:00Z</dcterms:created>
  <dcterms:modified xsi:type="dcterms:W3CDTF">2026-05-12T17:35:00Z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2024-06-07T00:00:00Z</vt:filetime>
  </property>
  <property fmtid="{D5CDD505-2E9C-101B-9397-08002B2CF9AE}" pid="3" name="Creator">
    <vt:lpwstr>Microsoft® Word para Microsoft 365</vt:lpwstr>
  </property>
  <property fmtid="{D5CDD505-2E9C-101B-9397-08002B2CF9AE}" pid="4" name="LastSaved">
    <vt:filetime>2024-11-04T00:00:00Z</vt:filetime>
  </property>
</Properties>
</file>